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FD" w:rsidRPr="006135FD" w:rsidRDefault="006135FD" w:rsidP="006135FD">
      <w:pPr>
        <w:pStyle w:val="Title"/>
        <w:framePr w:w="0" w:hSpace="0" w:vSpace="0" w:wrap="auto" w:vAnchor="margin" w:hAnchor="text" w:xAlign="left" w:yAlign="inline"/>
        <w:jc w:val="right"/>
        <w:rPr>
          <w:b/>
          <w:sz w:val="28"/>
          <w:szCs w:val="28"/>
        </w:rPr>
      </w:pPr>
      <w:r w:rsidRPr="006135FD">
        <w:rPr>
          <w:b/>
          <w:sz w:val="28"/>
          <w:szCs w:val="28"/>
        </w:rPr>
        <w:t>American Journal of Engineering Research (AJER)</w:t>
      </w:r>
    </w:p>
    <w:p w:rsidR="006135FD" w:rsidRPr="006135FD" w:rsidRDefault="006135FD" w:rsidP="006135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35FD">
        <w:rPr>
          <w:rFonts w:ascii="Times New Roman" w:hAnsi="Times New Roman" w:cs="Times New Roman"/>
          <w:sz w:val="28"/>
          <w:szCs w:val="28"/>
        </w:rPr>
        <w:t>e-ISSN : 2320-0847  p-ISSN : 2320-0936</w:t>
      </w:r>
    </w:p>
    <w:p w:rsidR="006135FD" w:rsidRPr="006135FD" w:rsidRDefault="006135FD" w:rsidP="006135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35FD">
        <w:rPr>
          <w:rFonts w:ascii="Times New Roman" w:hAnsi="Times New Roman" w:cs="Times New Roman"/>
          <w:sz w:val="28"/>
          <w:szCs w:val="28"/>
        </w:rPr>
        <w:t>Volume-XX, Issue-XX, pp-XX-XX</w:t>
      </w:r>
    </w:p>
    <w:p w:rsidR="006135FD" w:rsidRDefault="006135FD" w:rsidP="006135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49AA">
        <w:rPr>
          <w:rFonts w:ascii="Times New Roman" w:hAnsi="Times New Roman" w:cs="Times New Roman"/>
          <w:sz w:val="28"/>
          <w:szCs w:val="28"/>
        </w:rPr>
        <w:t>www.ajer.</w:t>
      </w:r>
      <w:r w:rsidR="00FA6D89">
        <w:rPr>
          <w:rFonts w:ascii="Times New Roman" w:hAnsi="Times New Roman" w:cs="Times New Roman"/>
          <w:sz w:val="28"/>
          <w:szCs w:val="28"/>
        </w:rPr>
        <w:t>org</w:t>
      </w:r>
    </w:p>
    <w:p w:rsidR="006135FD" w:rsidRDefault="006135FD" w:rsidP="00613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5FD" w:rsidRPr="006135FD" w:rsidRDefault="006135FD" w:rsidP="006135FD">
      <w:pPr>
        <w:shd w:val="clear" w:color="auto" w:fill="DBE5F1" w:themeFill="accent1" w:themeFillTint="3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Research Paper                                                                                   Open Access</w:t>
      </w:r>
    </w:p>
    <w:p w:rsidR="006135FD" w:rsidRPr="007749AA" w:rsidRDefault="006135FD" w:rsidP="00D94FF7">
      <w:pPr>
        <w:pStyle w:val="Title"/>
        <w:framePr w:w="0" w:hSpace="0" w:vSpace="0" w:wrap="auto" w:vAnchor="margin" w:hAnchor="text" w:xAlign="left" w:yAlign="inline"/>
        <w:rPr>
          <w:b/>
          <w:sz w:val="8"/>
          <w:szCs w:val="36"/>
        </w:rPr>
      </w:pPr>
    </w:p>
    <w:p w:rsidR="007749AA" w:rsidRPr="007749AA" w:rsidRDefault="007749AA" w:rsidP="007749AA">
      <w:pPr>
        <w:pBdr>
          <w:top w:val="thinThickThinSmallGap" w:sz="24" w:space="0" w:color="auto"/>
        </w:pBdr>
        <w:rPr>
          <w:sz w:val="6"/>
        </w:rPr>
      </w:pPr>
    </w:p>
    <w:p w:rsidR="00D94FF7" w:rsidRPr="005A73C2" w:rsidRDefault="007A7DD4" w:rsidP="00D94FF7">
      <w:pPr>
        <w:pStyle w:val="Authors"/>
        <w:framePr w:w="0" w:hSpace="0" w:vSpace="0" w:wrap="auto" w:vAnchor="margin" w:hAnchor="text" w:xAlign="left" w:yAlign="inline"/>
        <w:spacing w:after="0"/>
        <w:rPr>
          <w:bCs/>
          <w:sz w:val="20"/>
          <w:szCs w:val="20"/>
        </w:rPr>
      </w:pPr>
      <w:r w:rsidRPr="007A7DD4">
        <w:rPr>
          <w:b/>
          <w:kern w:val="28"/>
          <w:sz w:val="32"/>
          <w:szCs w:val="36"/>
        </w:rPr>
        <w:t>Collapse Analysis of concrete framed structure</w:t>
      </w:r>
    </w:p>
    <w:p w:rsidR="00092A89" w:rsidRDefault="00092A89" w:rsidP="00D94FF7">
      <w:pPr>
        <w:pStyle w:val="Authors"/>
        <w:framePr w:w="0" w:hSpace="0" w:vSpace="0" w:wrap="auto" w:vAnchor="margin" w:hAnchor="text" w:xAlign="left" w:yAlign="inline"/>
        <w:spacing w:after="0"/>
        <w:rPr>
          <w:bCs/>
          <w:sz w:val="28"/>
          <w:szCs w:val="28"/>
        </w:rPr>
      </w:pPr>
    </w:p>
    <w:p w:rsidR="00D94FF7" w:rsidRPr="0078646D" w:rsidRDefault="007A7DD4" w:rsidP="00D94FF7">
      <w:pPr>
        <w:pStyle w:val="Authors"/>
        <w:framePr w:w="0" w:hSpace="0" w:vSpace="0" w:wrap="auto" w:vAnchor="margin" w:hAnchor="text" w:xAlign="left" w:yAlign="inline"/>
        <w:spacing w:after="0"/>
        <w:rPr>
          <w:bCs/>
          <w:sz w:val="28"/>
          <w:szCs w:val="28"/>
        </w:rPr>
      </w:pPr>
      <w:r w:rsidRPr="007A7DD4">
        <w:rPr>
          <w:bCs/>
          <w:sz w:val="28"/>
          <w:szCs w:val="28"/>
        </w:rPr>
        <w:t>Vidya Vijayan</w:t>
      </w:r>
      <w:r w:rsidR="00D94FF7" w:rsidRPr="00682B0D">
        <w:rPr>
          <w:bCs/>
          <w:sz w:val="28"/>
          <w:szCs w:val="28"/>
          <w:vertAlign w:val="superscript"/>
        </w:rPr>
        <w:t>1</w:t>
      </w:r>
      <w:r w:rsidR="00D94FF7">
        <w:rPr>
          <w:bCs/>
          <w:sz w:val="28"/>
          <w:szCs w:val="28"/>
        </w:rPr>
        <w:t xml:space="preserve">, </w:t>
      </w:r>
      <w:r w:rsidRPr="007A7DD4">
        <w:rPr>
          <w:bCs/>
          <w:sz w:val="28"/>
          <w:szCs w:val="28"/>
        </w:rPr>
        <w:t>Prabha C</w:t>
      </w:r>
      <w:r w:rsidR="006359BF">
        <w:rPr>
          <w:bCs/>
          <w:sz w:val="28"/>
          <w:szCs w:val="28"/>
          <w:vertAlign w:val="superscript"/>
        </w:rPr>
        <w:t>1</w:t>
      </w:r>
      <w:r w:rsidR="00D94FF7">
        <w:rPr>
          <w:bCs/>
          <w:sz w:val="28"/>
          <w:szCs w:val="28"/>
          <w:vertAlign w:val="superscript"/>
        </w:rPr>
        <w:t xml:space="preserve"> </w:t>
      </w:r>
    </w:p>
    <w:p w:rsidR="00D94FF7" w:rsidRPr="0078646D" w:rsidRDefault="00D94FF7" w:rsidP="00D94FF7">
      <w:pPr>
        <w:pStyle w:val="Authors"/>
        <w:framePr w:w="0" w:hSpace="0" w:vSpace="0" w:wrap="auto" w:vAnchor="margin" w:hAnchor="text" w:xAlign="left" w:yAlign="inline"/>
        <w:spacing w:after="0"/>
        <w:rPr>
          <w:i/>
          <w:sz w:val="20"/>
          <w:szCs w:val="20"/>
        </w:rPr>
      </w:pPr>
      <w:r w:rsidRPr="0078646D">
        <w:rPr>
          <w:i/>
          <w:sz w:val="20"/>
          <w:szCs w:val="20"/>
          <w:vertAlign w:val="superscript"/>
        </w:rPr>
        <w:t>1</w:t>
      </w:r>
      <w:r w:rsidRPr="0078646D">
        <w:rPr>
          <w:i/>
          <w:sz w:val="20"/>
          <w:szCs w:val="20"/>
        </w:rPr>
        <w:t>(</w:t>
      </w:r>
      <w:r w:rsidR="006359BF" w:rsidRPr="006359BF">
        <w:rPr>
          <w:i/>
          <w:iCs/>
          <w:sz w:val="20"/>
          <w:szCs w:val="20"/>
        </w:rPr>
        <w:t>Department of Civil Engineering, Mar Athanasius College of Engineering, Kothamangalam</w:t>
      </w:r>
      <w:r w:rsidRPr="0078646D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 xml:space="preserve"> </w:t>
      </w:r>
    </w:p>
    <w:p w:rsidR="001D7625" w:rsidRPr="001D7625" w:rsidRDefault="001D7625" w:rsidP="001D762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7625">
        <w:rPr>
          <w:rFonts w:ascii="Times New Roman" w:hAnsi="Times New Roman" w:cs="Times New Roman"/>
          <w:b/>
          <w:sz w:val="20"/>
          <w:szCs w:val="20"/>
        </w:rPr>
        <w:t>Received Manuscript: XX-XX-XXXX</w:t>
      </w:r>
    </w:p>
    <w:p w:rsidR="001D7625" w:rsidRPr="001D7625" w:rsidRDefault="001D7625" w:rsidP="001D762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7625">
        <w:rPr>
          <w:rFonts w:ascii="Times New Roman" w:hAnsi="Times New Roman" w:cs="Times New Roman"/>
          <w:b/>
          <w:sz w:val="20"/>
          <w:szCs w:val="20"/>
        </w:rPr>
        <w:t>Accept Manuscript: XX-XX-XXXX</w:t>
      </w:r>
    </w:p>
    <w:p w:rsidR="001D7625" w:rsidRPr="001D7625" w:rsidRDefault="001D7625" w:rsidP="001D762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7625">
        <w:rPr>
          <w:rFonts w:ascii="Times New Roman" w:hAnsi="Times New Roman" w:cs="Times New Roman"/>
          <w:b/>
          <w:sz w:val="20"/>
          <w:szCs w:val="20"/>
        </w:rPr>
        <w:t>Published Manuscript: XX-XX-XXXX</w:t>
      </w:r>
    </w:p>
    <w:p w:rsidR="00D94FF7" w:rsidRDefault="00D94FF7" w:rsidP="00FF5EA1">
      <w:pPr>
        <w:pStyle w:val="Authors"/>
        <w:framePr w:w="0" w:hSpace="0" w:vSpace="0" w:wrap="auto" w:vAnchor="margin" w:hAnchor="text" w:xAlign="left" w:yAlign="inline"/>
        <w:spacing w:after="0"/>
        <w:jc w:val="left"/>
        <w:rPr>
          <w:i/>
          <w:sz w:val="20"/>
          <w:szCs w:val="20"/>
        </w:rPr>
      </w:pPr>
    </w:p>
    <w:p w:rsidR="00C06223" w:rsidRPr="00FF5EA1" w:rsidRDefault="00D94FF7" w:rsidP="00C06223">
      <w:pPr>
        <w:pStyle w:val="Authors"/>
        <w:framePr w:wrap="notBeside"/>
        <w:jc w:val="both"/>
        <w:rPr>
          <w:b/>
          <w:i/>
          <w:lang w:val="fr-FR"/>
        </w:rPr>
      </w:pPr>
      <w:r w:rsidRPr="0078646D">
        <w:rPr>
          <w:b/>
          <w:i/>
          <w:lang w:val="fr-FR"/>
        </w:rPr>
        <w:t xml:space="preserve"> ABSTRACT</w:t>
      </w:r>
      <w:r w:rsidR="00856C27">
        <w:rPr>
          <w:b/>
          <w:i/>
          <w:lang w:val="fr-FR"/>
        </w:rPr>
        <w:t xml:space="preserve"> </w:t>
      </w:r>
      <w:r w:rsidRPr="0078646D">
        <w:rPr>
          <w:b/>
          <w:i/>
          <w:lang w:val="fr-FR"/>
        </w:rPr>
        <w:t xml:space="preserve">: </w:t>
      </w:r>
      <w:r w:rsidR="00C06223" w:rsidRPr="00C06223">
        <w:rPr>
          <w:i/>
          <w:sz w:val="20"/>
          <w:szCs w:val="20"/>
        </w:rPr>
        <w:t>Now a day the buildings are designed as per conven</w:t>
      </w:r>
      <w:r w:rsidR="00C06223">
        <w:rPr>
          <w:i/>
          <w:sz w:val="20"/>
          <w:szCs w:val="20"/>
        </w:rPr>
        <w:t xml:space="preserve">tional building codes which are </w:t>
      </w:r>
      <w:r w:rsidR="00C06223" w:rsidRPr="00C06223">
        <w:rPr>
          <w:i/>
          <w:sz w:val="20"/>
          <w:szCs w:val="20"/>
        </w:rPr>
        <w:t>not able to reduce</w:t>
      </w:r>
      <w:r w:rsidR="00C06223">
        <w:rPr>
          <w:i/>
          <w:sz w:val="20"/>
          <w:szCs w:val="20"/>
        </w:rPr>
        <w:t xml:space="preserve"> </w:t>
      </w:r>
      <w:r w:rsidR="00C06223" w:rsidRPr="00C06223">
        <w:rPr>
          <w:i/>
          <w:sz w:val="20"/>
          <w:szCs w:val="20"/>
        </w:rPr>
        <w:t>the effect due to sudden collapse of columns. There are no adequate tools to predict the collapse behavior of concrete</w:t>
      </w:r>
      <w:r w:rsidR="00C06223">
        <w:rPr>
          <w:i/>
          <w:sz w:val="20"/>
          <w:szCs w:val="20"/>
        </w:rPr>
        <w:t xml:space="preserve"> </w:t>
      </w:r>
      <w:r w:rsidR="00C06223" w:rsidRPr="00C06223">
        <w:rPr>
          <w:i/>
          <w:sz w:val="20"/>
          <w:szCs w:val="20"/>
        </w:rPr>
        <w:t>buildings. When the vertical load carrying members are suddenly failed that load is transferred to the nearby</w:t>
      </w:r>
      <w:r w:rsidR="00C06223">
        <w:rPr>
          <w:i/>
          <w:sz w:val="20"/>
          <w:szCs w:val="20"/>
        </w:rPr>
        <w:t xml:space="preserve"> </w:t>
      </w:r>
      <w:r w:rsidR="00C06223" w:rsidRPr="00C06223">
        <w:rPr>
          <w:i/>
          <w:sz w:val="20"/>
          <w:szCs w:val="20"/>
        </w:rPr>
        <w:t>members. If the nearby members are not designed to take that load coming from the failed member it will fail and</w:t>
      </w:r>
      <w:r w:rsidR="00C06223">
        <w:rPr>
          <w:i/>
          <w:sz w:val="20"/>
          <w:szCs w:val="20"/>
        </w:rPr>
        <w:t xml:space="preserve"> </w:t>
      </w:r>
      <w:r w:rsidR="00C06223" w:rsidRPr="00C06223">
        <w:rPr>
          <w:i/>
          <w:sz w:val="20"/>
          <w:szCs w:val="20"/>
        </w:rPr>
        <w:t>failure of that member leads to the total collapse of the structure. This study aims to predict the collapse pattern of the</w:t>
      </w:r>
      <w:r w:rsidR="00C06223">
        <w:rPr>
          <w:i/>
          <w:sz w:val="20"/>
          <w:szCs w:val="20"/>
        </w:rPr>
        <w:t xml:space="preserve"> </w:t>
      </w:r>
      <w:r w:rsidR="00C06223" w:rsidRPr="00C06223">
        <w:rPr>
          <w:i/>
          <w:sz w:val="20"/>
          <w:szCs w:val="20"/>
        </w:rPr>
        <w:t xml:space="preserve">structure when a sudden failure occurs to any of the columns and to suggest remedial </w:t>
      </w:r>
      <w:r w:rsidR="00C06223">
        <w:rPr>
          <w:i/>
          <w:sz w:val="20"/>
          <w:szCs w:val="20"/>
        </w:rPr>
        <w:t xml:space="preserve">measures to reduce the effect of </w:t>
      </w:r>
      <w:r w:rsidR="00C06223" w:rsidRPr="00C06223">
        <w:rPr>
          <w:i/>
          <w:sz w:val="20"/>
          <w:szCs w:val="20"/>
        </w:rPr>
        <w:t>sudden failure.</w:t>
      </w:r>
    </w:p>
    <w:p w:rsidR="00D94FF7" w:rsidRPr="008E770E" w:rsidRDefault="00D94FF7" w:rsidP="00D94FF7">
      <w:pPr>
        <w:rPr>
          <w:i/>
          <w:iCs/>
          <w:lang w:val="fr-FR"/>
        </w:rPr>
      </w:pPr>
      <w:r w:rsidRPr="008E770E">
        <w:rPr>
          <w:rFonts w:ascii="Times New Roman" w:hAnsi="Times New Roman"/>
          <w:b/>
          <w:bCs/>
          <w:i/>
          <w:iCs/>
        </w:rPr>
        <w:t>Keywords -</w:t>
      </w:r>
      <w:r w:rsidRPr="008E770E">
        <w:rPr>
          <w:rFonts w:ascii="Times New Roman" w:hAnsi="Times New Roman"/>
          <w:b/>
          <w:i/>
          <w:iCs/>
          <w:sz w:val="20"/>
          <w:szCs w:val="20"/>
        </w:rPr>
        <w:t xml:space="preserve"> </w:t>
      </w:r>
      <w:r w:rsidR="00FF5EA1" w:rsidRPr="00FF5EA1">
        <w:rPr>
          <w:rFonts w:ascii="Times New Roman" w:hAnsi="Times New Roman"/>
          <w:i/>
          <w:iCs/>
          <w:sz w:val="20"/>
          <w:szCs w:val="20"/>
        </w:rPr>
        <w:t>collapse analysis, hinge formation</w:t>
      </w:r>
    </w:p>
    <w:p w:rsidR="00D94FF7" w:rsidRPr="005A73C2" w:rsidRDefault="00D94FF7" w:rsidP="00D94FF7">
      <w:pPr>
        <w:pStyle w:val="Heading1"/>
        <w:numPr>
          <w:ilvl w:val="0"/>
          <w:numId w:val="3"/>
        </w:numPr>
        <w:spacing w:before="0" w:after="0"/>
        <w:ind w:left="0" w:firstLine="0"/>
        <w:rPr>
          <w:b/>
          <w:bCs/>
          <w:sz w:val="22"/>
          <w:szCs w:val="22"/>
        </w:rPr>
      </w:pPr>
      <w:r w:rsidRPr="005A73C2">
        <w:rPr>
          <w:b/>
          <w:bCs/>
          <w:sz w:val="22"/>
          <w:szCs w:val="22"/>
        </w:rPr>
        <w:t>INTRODUCTION</w:t>
      </w:r>
      <w:r>
        <w:rPr>
          <w:b/>
          <w:bCs/>
          <w:sz w:val="22"/>
          <w:szCs w:val="22"/>
        </w:rPr>
        <w:t xml:space="preserve"> </w:t>
      </w:r>
    </w:p>
    <w:p w:rsidR="00D94FF7" w:rsidRDefault="00833B35" w:rsidP="00833B35">
      <w:pPr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833B35">
        <w:rPr>
          <w:rFonts w:ascii="Times New Roman" w:hAnsi="Times New Roman"/>
          <w:sz w:val="20"/>
          <w:szCs w:val="20"/>
        </w:rPr>
        <w:t>Research on progressive collapse has intensified since the collapse of the World Trade Center in</w:t>
      </w:r>
      <w:r>
        <w:rPr>
          <w:rFonts w:ascii="Times New Roman" w:hAnsi="Times New Roman"/>
          <w:sz w:val="20"/>
          <w:szCs w:val="20"/>
        </w:rPr>
        <w:t xml:space="preserve"> </w:t>
      </w:r>
      <w:r w:rsidRPr="00833B35">
        <w:rPr>
          <w:rFonts w:ascii="Times New Roman" w:hAnsi="Times New Roman"/>
          <w:sz w:val="20"/>
          <w:szCs w:val="20"/>
        </w:rPr>
        <w:t>September 11, 2001. With an increasing trend towards more terrorist action and catastrophic event</w:t>
      </w:r>
      <w:r>
        <w:rPr>
          <w:rFonts w:ascii="Times New Roman" w:hAnsi="Times New Roman"/>
          <w:sz w:val="20"/>
          <w:szCs w:val="20"/>
        </w:rPr>
        <w:t xml:space="preserve"> </w:t>
      </w:r>
      <w:r w:rsidRPr="00833B35"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z w:val="20"/>
          <w:szCs w:val="20"/>
        </w:rPr>
        <w:t xml:space="preserve"> </w:t>
      </w:r>
      <w:r w:rsidRPr="00833B35">
        <w:rPr>
          <w:rFonts w:ascii="Times New Roman" w:hAnsi="Times New Roman"/>
          <w:sz w:val="20"/>
          <w:szCs w:val="20"/>
        </w:rPr>
        <w:t>progressive collapse of the world trade center, it is clear that structural design must include the</w:t>
      </w:r>
      <w:r>
        <w:rPr>
          <w:rFonts w:ascii="Times New Roman" w:hAnsi="Times New Roman"/>
          <w:sz w:val="20"/>
          <w:szCs w:val="20"/>
        </w:rPr>
        <w:t xml:space="preserve"> </w:t>
      </w:r>
      <w:r w:rsidRPr="00833B35">
        <w:rPr>
          <w:rFonts w:ascii="Times New Roman" w:hAnsi="Times New Roman"/>
          <w:sz w:val="20"/>
          <w:szCs w:val="20"/>
        </w:rPr>
        <w:t>progressive collapse mitigation. The most critical abnormal loadings that have potential to cause</w:t>
      </w:r>
      <w:r>
        <w:rPr>
          <w:rFonts w:ascii="Times New Roman" w:hAnsi="Times New Roman"/>
          <w:sz w:val="20"/>
          <w:szCs w:val="20"/>
        </w:rPr>
        <w:t xml:space="preserve"> </w:t>
      </w:r>
      <w:r w:rsidRPr="00833B35">
        <w:rPr>
          <w:rFonts w:ascii="Times New Roman" w:hAnsi="Times New Roman"/>
          <w:sz w:val="20"/>
          <w:szCs w:val="20"/>
        </w:rPr>
        <w:t>progressive failure are vehicle impact, fire, earthquake or any other man-made or natural hazards.</w:t>
      </w:r>
      <w:r>
        <w:rPr>
          <w:rFonts w:ascii="Times New Roman" w:hAnsi="Times New Roman"/>
          <w:sz w:val="20"/>
          <w:szCs w:val="20"/>
        </w:rPr>
        <w:t xml:space="preserve"> </w:t>
      </w:r>
      <w:r w:rsidRPr="00833B35">
        <w:rPr>
          <w:rFonts w:ascii="Times New Roman" w:hAnsi="Times New Roman"/>
          <w:sz w:val="20"/>
          <w:szCs w:val="20"/>
        </w:rPr>
        <w:t>The random nature of occurrence of these forces makes it difficult to predict adequate levels of</w:t>
      </w:r>
      <w:r>
        <w:rPr>
          <w:rFonts w:ascii="Times New Roman" w:hAnsi="Times New Roman"/>
          <w:sz w:val="20"/>
          <w:szCs w:val="20"/>
        </w:rPr>
        <w:t xml:space="preserve"> </w:t>
      </w:r>
      <w:r w:rsidRPr="00833B35">
        <w:rPr>
          <w:rFonts w:ascii="Times New Roman" w:hAnsi="Times New Roman"/>
          <w:sz w:val="20"/>
          <w:szCs w:val="20"/>
        </w:rPr>
        <w:t>design. These abnormal loads need to be considered in the design of structures to prevent the</w:t>
      </w:r>
      <w:r>
        <w:rPr>
          <w:rFonts w:ascii="Times New Roman" w:hAnsi="Times New Roman"/>
          <w:sz w:val="20"/>
          <w:szCs w:val="20"/>
        </w:rPr>
        <w:t xml:space="preserve"> </w:t>
      </w:r>
      <w:r w:rsidRPr="00833B35">
        <w:rPr>
          <w:rFonts w:ascii="Times New Roman" w:hAnsi="Times New Roman"/>
          <w:sz w:val="20"/>
          <w:szCs w:val="20"/>
        </w:rPr>
        <w:t>progressive collapse. The methodology implemented in this paper to assess the susceptibility of a</w:t>
      </w:r>
      <w:r>
        <w:rPr>
          <w:rFonts w:ascii="Times New Roman" w:hAnsi="Times New Roman"/>
          <w:sz w:val="20"/>
          <w:szCs w:val="20"/>
        </w:rPr>
        <w:t xml:space="preserve"> </w:t>
      </w:r>
      <w:r w:rsidRPr="00833B35">
        <w:rPr>
          <w:rFonts w:ascii="Times New Roman" w:hAnsi="Times New Roman"/>
          <w:sz w:val="20"/>
          <w:szCs w:val="20"/>
        </w:rPr>
        <w:t>typical 5-storey RC building to progressive collapse is initiated by instantaneous loss of a</w:t>
      </w:r>
      <w:r>
        <w:rPr>
          <w:rFonts w:ascii="Times New Roman" w:hAnsi="Times New Roman"/>
          <w:sz w:val="20"/>
          <w:szCs w:val="20"/>
        </w:rPr>
        <w:t xml:space="preserve"> </w:t>
      </w:r>
      <w:r w:rsidRPr="00833B35">
        <w:rPr>
          <w:rFonts w:ascii="Times New Roman" w:hAnsi="Times New Roman"/>
          <w:sz w:val="20"/>
          <w:szCs w:val="20"/>
        </w:rPr>
        <w:t>ground and first floor column. Application of the proposed methodology demonstrates that</w:t>
      </w:r>
      <w:r>
        <w:rPr>
          <w:rFonts w:ascii="Times New Roman" w:hAnsi="Times New Roman"/>
          <w:sz w:val="20"/>
          <w:szCs w:val="20"/>
        </w:rPr>
        <w:t xml:space="preserve"> </w:t>
      </w:r>
      <w:r w:rsidRPr="00833B35">
        <w:rPr>
          <w:rFonts w:ascii="Times New Roman" w:hAnsi="Times New Roman"/>
          <w:sz w:val="20"/>
          <w:szCs w:val="20"/>
        </w:rPr>
        <w:t>structures of this type can be vulnerable to progressive collapse triggered by sudden loss of a</w:t>
      </w:r>
      <w:r>
        <w:rPr>
          <w:rFonts w:ascii="Times New Roman" w:hAnsi="Times New Roman"/>
          <w:sz w:val="20"/>
          <w:szCs w:val="20"/>
        </w:rPr>
        <w:t xml:space="preserve"> </w:t>
      </w:r>
      <w:r w:rsidRPr="00833B35">
        <w:rPr>
          <w:rFonts w:ascii="Times New Roman" w:hAnsi="Times New Roman"/>
          <w:sz w:val="20"/>
          <w:szCs w:val="20"/>
        </w:rPr>
        <w:t>vertical support member, mainly due to the inability of internal secondary beam support joints to</w:t>
      </w:r>
      <w:r>
        <w:rPr>
          <w:rFonts w:ascii="Times New Roman" w:hAnsi="Times New Roman"/>
          <w:sz w:val="20"/>
          <w:szCs w:val="20"/>
        </w:rPr>
        <w:t xml:space="preserve"> </w:t>
      </w:r>
      <w:r w:rsidRPr="00833B35">
        <w:rPr>
          <w:rFonts w:ascii="Times New Roman" w:hAnsi="Times New Roman"/>
          <w:sz w:val="20"/>
          <w:szCs w:val="20"/>
        </w:rPr>
        <w:t>transfer the gravity loads to the adjacent undamaged parts of the structure.</w:t>
      </w:r>
    </w:p>
    <w:p w:rsidR="00D94FF7" w:rsidRDefault="00D94FF7" w:rsidP="00D94FF7">
      <w:pPr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D94FF7" w:rsidRPr="005A73C2" w:rsidRDefault="00E745CA" w:rsidP="00D94FF7">
      <w:pPr>
        <w:pStyle w:val="Heading1"/>
        <w:numPr>
          <w:ilvl w:val="0"/>
          <w:numId w:val="3"/>
        </w:numPr>
        <w:spacing w:before="0" w:after="0"/>
        <w:ind w:left="0" w:firstLine="0"/>
        <w:rPr>
          <w:b/>
          <w:bCs/>
          <w:sz w:val="22"/>
          <w:szCs w:val="22"/>
        </w:rPr>
      </w:pPr>
      <w:r w:rsidRPr="00E745CA">
        <w:rPr>
          <w:b/>
          <w:bCs/>
          <w:sz w:val="22"/>
          <w:szCs w:val="22"/>
        </w:rPr>
        <w:t xml:space="preserve">Model </w:t>
      </w:r>
    </w:p>
    <w:p w:rsidR="00143688" w:rsidRDefault="00143688" w:rsidP="00143688">
      <w:pPr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143688">
        <w:rPr>
          <w:rFonts w:ascii="Times New Roman" w:hAnsi="Times New Roman"/>
          <w:sz w:val="20"/>
          <w:szCs w:val="20"/>
        </w:rPr>
        <w:t>A typical five-storey RC building designed for commercial use is studied to demonstrate</w:t>
      </w:r>
      <w:r>
        <w:rPr>
          <w:rFonts w:ascii="Times New Roman" w:hAnsi="Times New Roman"/>
          <w:sz w:val="20"/>
          <w:szCs w:val="20"/>
        </w:rPr>
        <w:t xml:space="preserve"> </w:t>
      </w:r>
      <w:r w:rsidRPr="00143688">
        <w:rPr>
          <w:rFonts w:ascii="Times New Roman" w:hAnsi="Times New Roman"/>
          <w:sz w:val="20"/>
          <w:szCs w:val="20"/>
        </w:rPr>
        <w:t>application of the proposed progressive collapse assessment method. The layout of the building as</w:t>
      </w:r>
      <w:r>
        <w:rPr>
          <w:rFonts w:ascii="Times New Roman" w:hAnsi="Times New Roman"/>
          <w:sz w:val="20"/>
          <w:szCs w:val="20"/>
        </w:rPr>
        <w:t xml:space="preserve"> </w:t>
      </w:r>
      <w:r w:rsidRPr="00143688">
        <w:rPr>
          <w:rFonts w:ascii="Times New Roman" w:hAnsi="Times New Roman"/>
          <w:sz w:val="20"/>
          <w:szCs w:val="20"/>
        </w:rPr>
        <w:t>well as the location of the removed ground floor columns are shown in Fig. 1. The values of live</w:t>
      </w:r>
      <w:r>
        <w:rPr>
          <w:rFonts w:ascii="Times New Roman" w:hAnsi="Times New Roman"/>
          <w:sz w:val="20"/>
          <w:szCs w:val="20"/>
        </w:rPr>
        <w:t xml:space="preserve"> </w:t>
      </w:r>
      <w:r w:rsidRPr="00143688">
        <w:rPr>
          <w:rFonts w:ascii="Times New Roman" w:hAnsi="Times New Roman"/>
          <w:sz w:val="20"/>
          <w:szCs w:val="20"/>
        </w:rPr>
        <w:t>loads are 3kN/m2. The columns taken for the building are 500x500mm, 400x400mm and</w:t>
      </w:r>
      <w:r>
        <w:rPr>
          <w:rFonts w:ascii="Times New Roman" w:hAnsi="Times New Roman"/>
          <w:sz w:val="20"/>
          <w:szCs w:val="20"/>
        </w:rPr>
        <w:t xml:space="preserve"> </w:t>
      </w:r>
      <w:r w:rsidRPr="00143688">
        <w:rPr>
          <w:rFonts w:ascii="Times New Roman" w:hAnsi="Times New Roman"/>
          <w:sz w:val="20"/>
          <w:szCs w:val="20"/>
        </w:rPr>
        <w:t>350x350mm and the beams are of size 250x450mm. The 500x500mm columns are provided in the</w:t>
      </w:r>
      <w:r>
        <w:rPr>
          <w:rFonts w:ascii="Times New Roman" w:hAnsi="Times New Roman"/>
          <w:sz w:val="20"/>
          <w:szCs w:val="20"/>
        </w:rPr>
        <w:t xml:space="preserve"> </w:t>
      </w:r>
      <w:r w:rsidRPr="00143688">
        <w:rPr>
          <w:rFonts w:ascii="Times New Roman" w:hAnsi="Times New Roman"/>
          <w:sz w:val="20"/>
          <w:szCs w:val="20"/>
        </w:rPr>
        <w:t>ground floor, 400x 400mm provided in the first floor and for the all other floors 350x350mm</w:t>
      </w:r>
      <w:r>
        <w:rPr>
          <w:rFonts w:ascii="Times New Roman" w:hAnsi="Times New Roman"/>
          <w:sz w:val="20"/>
          <w:szCs w:val="20"/>
        </w:rPr>
        <w:t xml:space="preserve"> </w:t>
      </w:r>
      <w:r w:rsidRPr="00143688">
        <w:rPr>
          <w:rFonts w:ascii="Times New Roman" w:hAnsi="Times New Roman"/>
          <w:sz w:val="20"/>
          <w:szCs w:val="20"/>
        </w:rPr>
        <w:t>columns are provided. The grade of concrete used for the building is M20 and steel used is Fe415.</w:t>
      </w:r>
      <w:r>
        <w:rPr>
          <w:rFonts w:ascii="Times New Roman" w:hAnsi="Times New Roman"/>
          <w:sz w:val="20"/>
          <w:szCs w:val="20"/>
        </w:rPr>
        <w:t xml:space="preserve"> </w:t>
      </w:r>
      <w:r w:rsidRPr="00143688">
        <w:rPr>
          <w:rFonts w:ascii="Times New Roman" w:hAnsi="Times New Roman"/>
          <w:sz w:val="20"/>
          <w:szCs w:val="20"/>
        </w:rPr>
        <w:t xml:space="preserve">PMM hinges are provided for columns and M3 hinges for beams. The numbers 1-5 in Fig. 1 </w:t>
      </w:r>
      <w:r w:rsidRPr="00143688">
        <w:rPr>
          <w:rFonts w:ascii="Times New Roman" w:hAnsi="Times New Roman"/>
          <w:sz w:val="20"/>
          <w:szCs w:val="20"/>
        </w:rPr>
        <w:lastRenderedPageBreak/>
        <w:t>shows</w:t>
      </w:r>
      <w:r>
        <w:rPr>
          <w:rFonts w:ascii="Times New Roman" w:hAnsi="Times New Roman"/>
          <w:sz w:val="20"/>
          <w:szCs w:val="20"/>
        </w:rPr>
        <w:t xml:space="preserve"> </w:t>
      </w:r>
      <w:r w:rsidRPr="00143688">
        <w:rPr>
          <w:rFonts w:ascii="Times New Roman" w:hAnsi="Times New Roman"/>
          <w:sz w:val="20"/>
          <w:szCs w:val="20"/>
        </w:rPr>
        <w:t>the position of the columns removed at first and ground storey.</w:t>
      </w:r>
    </w:p>
    <w:p w:rsidR="004E0144" w:rsidRPr="00143688" w:rsidRDefault="004E0144" w:rsidP="004E0144">
      <w:pPr>
        <w:adjustRightInd w:val="0"/>
        <w:spacing w:after="0"/>
        <w:ind w:firstLine="720"/>
        <w:jc w:val="center"/>
        <w:rPr>
          <w:rFonts w:ascii="Times New Roman" w:hAnsi="Times New Roman"/>
          <w:sz w:val="20"/>
          <w:szCs w:val="20"/>
        </w:rPr>
      </w:pPr>
      <w:r w:rsidRPr="00FB67A3">
        <w:rPr>
          <w:kern w:val="2"/>
          <w:lang w:eastAsia="ko-KR"/>
        </w:rPr>
        <w:object w:dxaOrig="5805" w:dyaOrig="4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7pt;height:142.05pt" o:ole="">
            <v:imagedata r:id="rId8" o:title=""/>
          </v:shape>
          <o:OLEObject Type="Embed" ProgID="PBrush" ShapeID="_x0000_i1025" DrawAspect="Content" ObjectID="_1448105793" r:id="rId9"/>
        </w:object>
      </w:r>
    </w:p>
    <w:p w:rsidR="00D94FF7" w:rsidRPr="004E0144" w:rsidRDefault="004E0144" w:rsidP="004E0144">
      <w:pPr>
        <w:adjustRightInd w:val="0"/>
        <w:ind w:firstLine="720"/>
        <w:jc w:val="center"/>
        <w:rPr>
          <w:rFonts w:ascii="Times New Roman" w:hAnsi="Times New Roman"/>
          <w:sz w:val="20"/>
          <w:szCs w:val="20"/>
        </w:rPr>
      </w:pPr>
      <w:r w:rsidRPr="004E0144">
        <w:rPr>
          <w:rFonts w:ascii="Times New Roman" w:hAnsi="Times New Roman"/>
          <w:sz w:val="20"/>
          <w:szCs w:val="20"/>
        </w:rPr>
        <w:t>Fig. 1 Plan of the building</w:t>
      </w:r>
    </w:p>
    <w:p w:rsidR="00D94FF7" w:rsidRPr="005A73C2" w:rsidRDefault="00C621EE" w:rsidP="00D94FF7">
      <w:pPr>
        <w:pStyle w:val="Heading1"/>
        <w:numPr>
          <w:ilvl w:val="0"/>
          <w:numId w:val="3"/>
        </w:numPr>
        <w:spacing w:before="0" w:after="0"/>
        <w:ind w:left="0" w:firstLine="0"/>
        <w:rPr>
          <w:b/>
          <w:bCs/>
          <w:sz w:val="22"/>
          <w:szCs w:val="22"/>
        </w:rPr>
      </w:pPr>
      <w:r w:rsidRPr="00C621EE">
        <w:rPr>
          <w:b/>
          <w:bCs/>
          <w:sz w:val="22"/>
          <w:szCs w:val="22"/>
        </w:rPr>
        <w:t xml:space="preserve">Pushover analysis </w:t>
      </w:r>
    </w:p>
    <w:p w:rsidR="00D94FF7" w:rsidRDefault="00CF7FD3" w:rsidP="008D351C">
      <w:pPr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CF7FD3">
        <w:rPr>
          <w:rFonts w:ascii="Times New Roman" w:hAnsi="Times New Roman"/>
          <w:sz w:val="20"/>
          <w:szCs w:val="20"/>
        </w:rPr>
        <w:t>The push over analysis is done for the collapse analysis of the structure. It is a nonlinear static</w:t>
      </w:r>
      <w:r>
        <w:rPr>
          <w:rFonts w:ascii="Times New Roman" w:hAnsi="Times New Roman"/>
          <w:sz w:val="20"/>
          <w:szCs w:val="20"/>
        </w:rPr>
        <w:t xml:space="preserve"> analysis. </w:t>
      </w:r>
      <w:r w:rsidRPr="00CF7FD3">
        <w:rPr>
          <w:rFonts w:ascii="Times New Roman" w:hAnsi="Times New Roman"/>
          <w:sz w:val="20"/>
          <w:szCs w:val="20"/>
        </w:rPr>
        <w:t>In this predefined loading pattern is distributed along the building height. These lateral</w:t>
      </w:r>
      <w:r>
        <w:rPr>
          <w:rFonts w:ascii="Times New Roman" w:hAnsi="Times New Roman"/>
          <w:sz w:val="20"/>
          <w:szCs w:val="20"/>
        </w:rPr>
        <w:t xml:space="preserve"> </w:t>
      </w:r>
      <w:r w:rsidRPr="00CF7FD3">
        <w:rPr>
          <w:rFonts w:ascii="Times New Roman" w:hAnsi="Times New Roman"/>
          <w:sz w:val="20"/>
          <w:szCs w:val="20"/>
        </w:rPr>
        <w:t>forces increases until certain level of deformation reached or the total collapse of the structure. For</w:t>
      </w:r>
      <w:r>
        <w:rPr>
          <w:rFonts w:ascii="Times New Roman" w:hAnsi="Times New Roman"/>
          <w:sz w:val="20"/>
          <w:szCs w:val="20"/>
        </w:rPr>
        <w:t xml:space="preserve"> </w:t>
      </w:r>
      <w:r w:rsidRPr="00CF7FD3">
        <w:rPr>
          <w:rFonts w:ascii="Times New Roman" w:hAnsi="Times New Roman"/>
          <w:sz w:val="20"/>
          <w:szCs w:val="20"/>
        </w:rPr>
        <w:t>this analysis the hinges are assigned to beams and columns. M3 hinges has been assigned to beams</w:t>
      </w:r>
      <w:r>
        <w:rPr>
          <w:rFonts w:ascii="Times New Roman" w:hAnsi="Times New Roman"/>
          <w:sz w:val="20"/>
          <w:szCs w:val="20"/>
        </w:rPr>
        <w:t xml:space="preserve"> </w:t>
      </w:r>
      <w:r w:rsidRPr="00CF7FD3">
        <w:rPr>
          <w:rFonts w:ascii="Times New Roman" w:hAnsi="Times New Roman"/>
          <w:sz w:val="20"/>
          <w:szCs w:val="20"/>
        </w:rPr>
        <w:t>and PMM hinges for columns. PMM hinges are used to describe the post yield behavior of the</w:t>
      </w:r>
      <w:r>
        <w:rPr>
          <w:rFonts w:ascii="Times New Roman" w:hAnsi="Times New Roman"/>
          <w:sz w:val="20"/>
          <w:szCs w:val="20"/>
        </w:rPr>
        <w:t xml:space="preserve"> </w:t>
      </w:r>
      <w:r w:rsidRPr="00CF7FD3">
        <w:rPr>
          <w:rFonts w:ascii="Times New Roman" w:hAnsi="Times New Roman"/>
          <w:sz w:val="20"/>
          <w:szCs w:val="20"/>
        </w:rPr>
        <w:t>column elements subjected to combined axial and biaxial bending conditions. Under incrementally</w:t>
      </w:r>
      <w:r>
        <w:rPr>
          <w:rFonts w:ascii="Times New Roman" w:hAnsi="Times New Roman"/>
          <w:sz w:val="20"/>
          <w:szCs w:val="20"/>
        </w:rPr>
        <w:t xml:space="preserve"> </w:t>
      </w:r>
      <w:r w:rsidRPr="00CF7FD3">
        <w:rPr>
          <w:rFonts w:ascii="Times New Roman" w:hAnsi="Times New Roman"/>
          <w:sz w:val="20"/>
          <w:szCs w:val="20"/>
        </w:rPr>
        <w:t>increasing loads various structural elements may yield sequentially. Consequently, at each event,</w:t>
      </w:r>
      <w:r>
        <w:rPr>
          <w:rFonts w:ascii="Times New Roman" w:hAnsi="Times New Roman"/>
          <w:sz w:val="20"/>
          <w:szCs w:val="20"/>
        </w:rPr>
        <w:t xml:space="preserve"> </w:t>
      </w:r>
      <w:r w:rsidRPr="00CF7FD3">
        <w:rPr>
          <w:rFonts w:ascii="Times New Roman" w:hAnsi="Times New Roman"/>
          <w:sz w:val="20"/>
          <w:szCs w:val="20"/>
        </w:rPr>
        <w:t>the structure experiences a loss in stiffness. Using a pushover analysis, a characteristic non linear</w:t>
      </w:r>
      <w:r>
        <w:rPr>
          <w:rFonts w:ascii="Times New Roman" w:hAnsi="Times New Roman"/>
          <w:sz w:val="20"/>
          <w:szCs w:val="20"/>
        </w:rPr>
        <w:t xml:space="preserve"> </w:t>
      </w:r>
      <w:r w:rsidRPr="00CF7FD3">
        <w:rPr>
          <w:rFonts w:ascii="Times New Roman" w:hAnsi="Times New Roman"/>
          <w:sz w:val="20"/>
          <w:szCs w:val="20"/>
        </w:rPr>
        <w:t>force-displacement relationship can be determined. Performance of building has been classified</w:t>
      </w:r>
      <w:r>
        <w:rPr>
          <w:rFonts w:ascii="Times New Roman" w:hAnsi="Times New Roman"/>
          <w:sz w:val="20"/>
          <w:szCs w:val="20"/>
        </w:rPr>
        <w:t xml:space="preserve"> </w:t>
      </w:r>
      <w:r w:rsidRPr="00CF7FD3">
        <w:rPr>
          <w:rFonts w:ascii="Times New Roman" w:hAnsi="Times New Roman"/>
          <w:sz w:val="20"/>
          <w:szCs w:val="20"/>
        </w:rPr>
        <w:t>into 5 levels, viz. (i) Operational (OP), (ii) Immediate Occupancy (IO), (iii) Damage Control (DC),</w:t>
      </w:r>
      <w:r>
        <w:rPr>
          <w:rFonts w:ascii="Times New Roman" w:hAnsi="Times New Roman"/>
          <w:sz w:val="20"/>
          <w:szCs w:val="20"/>
        </w:rPr>
        <w:t xml:space="preserve"> </w:t>
      </w:r>
      <w:r w:rsidRPr="00CF7FD3">
        <w:rPr>
          <w:rFonts w:ascii="Times New Roman" w:hAnsi="Times New Roman"/>
          <w:sz w:val="20"/>
          <w:szCs w:val="20"/>
        </w:rPr>
        <w:t>(iv) Life Safety (LS) and (v) Collapse Prevention (CP). Occupancy, means the post earthquake</w:t>
      </w:r>
      <w:r>
        <w:rPr>
          <w:rFonts w:ascii="Times New Roman" w:hAnsi="Times New Roman"/>
          <w:sz w:val="20"/>
          <w:szCs w:val="20"/>
        </w:rPr>
        <w:t xml:space="preserve"> </w:t>
      </w:r>
      <w:r w:rsidRPr="00CF7FD3">
        <w:rPr>
          <w:rFonts w:ascii="Times New Roman" w:hAnsi="Times New Roman"/>
          <w:sz w:val="20"/>
          <w:szCs w:val="20"/>
        </w:rPr>
        <w:t>damage state in which only very limited structural damage has occurred. There may be a few</w:t>
      </w:r>
      <w:r>
        <w:rPr>
          <w:rFonts w:ascii="Times New Roman" w:hAnsi="Times New Roman"/>
          <w:sz w:val="20"/>
          <w:szCs w:val="20"/>
        </w:rPr>
        <w:t xml:space="preserve"> </w:t>
      </w:r>
      <w:r w:rsidRPr="00CF7FD3">
        <w:rPr>
          <w:rFonts w:ascii="Times New Roman" w:hAnsi="Times New Roman"/>
          <w:sz w:val="20"/>
          <w:szCs w:val="20"/>
        </w:rPr>
        <w:t>locations where the rebar will yield, but the crushing of concrete is not expected. Damage Control</w:t>
      </w:r>
      <w:r>
        <w:rPr>
          <w:rFonts w:ascii="Times New Roman" w:hAnsi="Times New Roman"/>
          <w:sz w:val="20"/>
          <w:szCs w:val="20"/>
        </w:rPr>
        <w:t xml:space="preserve"> </w:t>
      </w:r>
      <w:r w:rsidRPr="00CF7FD3">
        <w:rPr>
          <w:rFonts w:ascii="Times New Roman" w:hAnsi="Times New Roman"/>
          <w:sz w:val="20"/>
          <w:szCs w:val="20"/>
        </w:rPr>
        <w:t>Performance Range means the continuous range of damage states that less damage than that</w:t>
      </w:r>
      <w:r>
        <w:rPr>
          <w:rFonts w:ascii="Times New Roman" w:hAnsi="Times New Roman"/>
          <w:sz w:val="20"/>
          <w:szCs w:val="20"/>
        </w:rPr>
        <w:t xml:space="preserve"> </w:t>
      </w:r>
      <w:r w:rsidRPr="00CF7FD3">
        <w:rPr>
          <w:rFonts w:ascii="Times New Roman" w:hAnsi="Times New Roman"/>
          <w:sz w:val="20"/>
          <w:szCs w:val="20"/>
        </w:rPr>
        <w:t>defined for the Life Safety level, but more than that defined for the Immediate Occupancy level.</w:t>
      </w:r>
      <w:r>
        <w:rPr>
          <w:rFonts w:ascii="Times New Roman" w:hAnsi="Times New Roman"/>
          <w:sz w:val="20"/>
          <w:szCs w:val="20"/>
        </w:rPr>
        <w:t xml:space="preserve"> </w:t>
      </w:r>
      <w:r w:rsidRPr="00CF7FD3">
        <w:rPr>
          <w:rFonts w:ascii="Times New Roman" w:hAnsi="Times New Roman"/>
          <w:sz w:val="20"/>
          <w:szCs w:val="20"/>
        </w:rPr>
        <w:t>Life Safety Performance Level means the post-earthquake damage state in which significant</w:t>
      </w:r>
      <w:r>
        <w:rPr>
          <w:rFonts w:ascii="Times New Roman" w:hAnsi="Times New Roman"/>
          <w:sz w:val="20"/>
          <w:szCs w:val="20"/>
        </w:rPr>
        <w:t xml:space="preserve"> </w:t>
      </w:r>
      <w:r w:rsidRPr="00CF7FD3">
        <w:rPr>
          <w:rFonts w:ascii="Times New Roman" w:hAnsi="Times New Roman"/>
          <w:sz w:val="20"/>
          <w:szCs w:val="20"/>
        </w:rPr>
        <w:t>damage to the structure has occurred, but some margin against either partial or total structural</w:t>
      </w:r>
      <w:r w:rsidR="008D351C">
        <w:rPr>
          <w:rFonts w:ascii="Times New Roman" w:hAnsi="Times New Roman"/>
          <w:sz w:val="20"/>
          <w:szCs w:val="20"/>
        </w:rPr>
        <w:t xml:space="preserve"> </w:t>
      </w:r>
      <w:r w:rsidR="008D351C" w:rsidRPr="008D351C">
        <w:rPr>
          <w:rFonts w:ascii="Times New Roman" w:hAnsi="Times New Roman"/>
          <w:sz w:val="20"/>
          <w:szCs w:val="20"/>
        </w:rPr>
        <w:t>collapse remains. Some structural elements and components have severely damaged, but this does</w:t>
      </w:r>
      <w:r w:rsidR="008D351C">
        <w:rPr>
          <w:rFonts w:ascii="Times New Roman" w:hAnsi="Times New Roman"/>
          <w:sz w:val="20"/>
          <w:szCs w:val="20"/>
        </w:rPr>
        <w:t xml:space="preserve"> </w:t>
      </w:r>
      <w:r w:rsidR="008D351C" w:rsidRPr="008D351C">
        <w:rPr>
          <w:rFonts w:ascii="Times New Roman" w:hAnsi="Times New Roman"/>
          <w:sz w:val="20"/>
          <w:szCs w:val="20"/>
        </w:rPr>
        <w:t>not result in large falling debris hazards, either within or outside the building.</w:t>
      </w:r>
      <w:r w:rsidR="008D351C">
        <w:rPr>
          <w:rFonts w:ascii="Times New Roman" w:hAnsi="Times New Roman"/>
          <w:sz w:val="20"/>
          <w:szCs w:val="20"/>
        </w:rPr>
        <w:t xml:space="preserve"> </w:t>
      </w:r>
      <w:r w:rsidR="008D351C" w:rsidRPr="008D351C">
        <w:rPr>
          <w:rFonts w:ascii="Times New Roman" w:hAnsi="Times New Roman"/>
          <w:sz w:val="20"/>
          <w:szCs w:val="20"/>
        </w:rPr>
        <w:t>Collapse Prevention</w:t>
      </w:r>
      <w:r w:rsidR="008D351C">
        <w:rPr>
          <w:rFonts w:ascii="Times New Roman" w:hAnsi="Times New Roman"/>
          <w:sz w:val="20"/>
          <w:szCs w:val="20"/>
        </w:rPr>
        <w:t xml:space="preserve"> </w:t>
      </w:r>
      <w:r w:rsidR="008D351C" w:rsidRPr="008D351C">
        <w:rPr>
          <w:rFonts w:ascii="Times New Roman" w:hAnsi="Times New Roman"/>
          <w:sz w:val="20"/>
          <w:szCs w:val="20"/>
        </w:rPr>
        <w:t>Performance Level means the building is on the verge of experiencing partial or total collapse.</w:t>
      </w:r>
      <w:r w:rsidR="008D351C">
        <w:rPr>
          <w:rFonts w:ascii="Times New Roman" w:hAnsi="Times New Roman"/>
          <w:sz w:val="20"/>
          <w:szCs w:val="20"/>
        </w:rPr>
        <w:t xml:space="preserve"> </w:t>
      </w:r>
      <w:r w:rsidR="008D351C" w:rsidRPr="008D351C">
        <w:rPr>
          <w:rFonts w:ascii="Times New Roman" w:hAnsi="Times New Roman"/>
          <w:sz w:val="20"/>
          <w:szCs w:val="20"/>
        </w:rPr>
        <w:t>Substantial damage to the structure has occurred, potentially including significant degradation in</w:t>
      </w:r>
      <w:r w:rsidR="008D351C">
        <w:rPr>
          <w:rFonts w:ascii="Times New Roman" w:hAnsi="Times New Roman"/>
          <w:sz w:val="20"/>
          <w:szCs w:val="20"/>
        </w:rPr>
        <w:t xml:space="preserve"> </w:t>
      </w:r>
      <w:r w:rsidR="008D351C" w:rsidRPr="008D351C">
        <w:rPr>
          <w:rFonts w:ascii="Times New Roman" w:hAnsi="Times New Roman"/>
          <w:sz w:val="20"/>
          <w:szCs w:val="20"/>
        </w:rPr>
        <w:t>the stiffness and strength of the lateral-force-resisting system, large permanent lateral deformation</w:t>
      </w:r>
      <w:r w:rsidR="008D351C">
        <w:rPr>
          <w:rFonts w:ascii="Times New Roman" w:hAnsi="Times New Roman"/>
          <w:sz w:val="20"/>
          <w:szCs w:val="20"/>
        </w:rPr>
        <w:t xml:space="preserve"> </w:t>
      </w:r>
      <w:r w:rsidR="008D351C" w:rsidRPr="008D351C">
        <w:rPr>
          <w:rFonts w:ascii="Times New Roman" w:hAnsi="Times New Roman"/>
          <w:sz w:val="20"/>
          <w:szCs w:val="20"/>
        </w:rPr>
        <w:t>of the structure and to more limited extent degradation in vertical-load-carrying capacity. The</w:t>
      </w:r>
      <w:r w:rsidR="008D351C">
        <w:rPr>
          <w:rFonts w:ascii="Times New Roman" w:hAnsi="Times New Roman"/>
          <w:sz w:val="20"/>
          <w:szCs w:val="20"/>
        </w:rPr>
        <w:t xml:space="preserve"> </w:t>
      </w:r>
      <w:r w:rsidR="008D351C" w:rsidRPr="008D351C">
        <w:rPr>
          <w:rFonts w:ascii="Times New Roman" w:hAnsi="Times New Roman"/>
          <w:sz w:val="20"/>
          <w:szCs w:val="20"/>
        </w:rPr>
        <w:t>structure may not be technically practical to repair and is not safe for re-occupancy.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69315E" w:rsidRDefault="0069315E" w:rsidP="008D351C">
      <w:pPr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69315E" w:rsidRDefault="0069315E" w:rsidP="0069315E">
      <w:pPr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69315E">
        <w:rPr>
          <w:rFonts w:ascii="Times New Roman" w:hAnsi="Times New Roman"/>
          <w:sz w:val="20"/>
          <w:szCs w:val="20"/>
        </w:rPr>
        <w:t>The performance of the structure is assessed by capacity spectrum as shown in Fig 3(a) obtained</w:t>
      </w:r>
      <w:r>
        <w:rPr>
          <w:rFonts w:ascii="Times New Roman" w:hAnsi="Times New Roman"/>
          <w:sz w:val="20"/>
          <w:szCs w:val="20"/>
        </w:rPr>
        <w:t xml:space="preserve"> </w:t>
      </w:r>
      <w:r w:rsidRPr="0069315E">
        <w:rPr>
          <w:rFonts w:ascii="Times New Roman" w:hAnsi="Times New Roman"/>
          <w:sz w:val="20"/>
          <w:szCs w:val="20"/>
        </w:rPr>
        <w:t>from pushover analysis. The intersection of the capacity spectrum and design spectrum known as</w:t>
      </w:r>
      <w:r>
        <w:rPr>
          <w:rFonts w:ascii="Times New Roman" w:hAnsi="Times New Roman"/>
          <w:sz w:val="20"/>
          <w:szCs w:val="20"/>
        </w:rPr>
        <w:t xml:space="preserve"> </w:t>
      </w:r>
      <w:r w:rsidRPr="0069315E">
        <w:rPr>
          <w:rFonts w:ascii="Times New Roman" w:hAnsi="Times New Roman"/>
          <w:sz w:val="20"/>
          <w:szCs w:val="20"/>
        </w:rPr>
        <w:t>performance point determined from the capacity curve gives the maximum elastic displacement.</w:t>
      </w:r>
      <w:r>
        <w:rPr>
          <w:rFonts w:ascii="Times New Roman" w:hAnsi="Times New Roman"/>
          <w:sz w:val="20"/>
          <w:szCs w:val="20"/>
        </w:rPr>
        <w:t xml:space="preserve"> </w:t>
      </w:r>
      <w:r w:rsidRPr="0069315E">
        <w:rPr>
          <w:rFonts w:ascii="Times New Roman" w:hAnsi="Times New Roman"/>
          <w:sz w:val="20"/>
          <w:szCs w:val="20"/>
        </w:rPr>
        <w:t>The base shear at performance point is 219.8kN and the corresponding displacement 0.0548 m.</w:t>
      </w:r>
      <w:r>
        <w:rPr>
          <w:rFonts w:ascii="Times New Roman" w:hAnsi="Times New Roman"/>
          <w:sz w:val="20"/>
          <w:szCs w:val="20"/>
        </w:rPr>
        <w:t xml:space="preserve"> </w:t>
      </w:r>
      <w:r w:rsidRPr="0069315E">
        <w:rPr>
          <w:rFonts w:ascii="Times New Roman" w:hAnsi="Times New Roman"/>
          <w:sz w:val="20"/>
          <w:szCs w:val="20"/>
        </w:rPr>
        <w:t>For the given structure the performance point is within the elastic limit.</w:t>
      </w:r>
    </w:p>
    <w:p w:rsidR="0065476B" w:rsidRDefault="0065476B" w:rsidP="0065476B">
      <w:pPr>
        <w:adjustRightInd w:val="0"/>
        <w:spacing w:after="0"/>
        <w:ind w:firstLine="720"/>
        <w:jc w:val="center"/>
        <w:rPr>
          <w:rFonts w:ascii="Times New Roman" w:hAnsi="Times New Roman"/>
          <w:sz w:val="20"/>
          <w:szCs w:val="20"/>
        </w:rPr>
      </w:pPr>
      <w:r w:rsidRPr="0065476B">
        <w:rPr>
          <w:rFonts w:ascii="Times New Roman" w:hAnsi="Times New Roman"/>
          <w:noProof/>
          <w:sz w:val="20"/>
          <w:szCs w:val="20"/>
          <w:lang w:val="en-IN" w:eastAsia="en-IN"/>
        </w:rPr>
        <w:lastRenderedPageBreak/>
        <w:drawing>
          <wp:inline distT="0" distB="0" distL="0" distR="0">
            <wp:extent cx="4503523" cy="2042984"/>
            <wp:effectExtent l="19050" t="0" r="11327" b="0"/>
            <wp:docPr id="2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5476B" w:rsidRPr="0065476B" w:rsidRDefault="0065476B" w:rsidP="0065476B">
      <w:pPr>
        <w:pStyle w:val="ListParagraph"/>
        <w:numPr>
          <w:ilvl w:val="0"/>
          <w:numId w:val="5"/>
        </w:numPr>
        <w:adjustRightInd w:val="0"/>
        <w:spacing w:after="0"/>
        <w:jc w:val="center"/>
        <w:rPr>
          <w:rFonts w:ascii="Times New Roman" w:hAnsi="Times New Roman" w:cs="Times New Roman"/>
          <w:shd w:val="clear" w:color="auto" w:fill="FFFFFF"/>
          <w:lang w:eastAsia="ko-KR"/>
        </w:rPr>
      </w:pPr>
      <w:r w:rsidRPr="0065476B">
        <w:rPr>
          <w:rFonts w:ascii="Times New Roman" w:hAnsi="Times New Roman" w:cs="Times New Roman"/>
          <w:shd w:val="clear" w:color="auto" w:fill="FFFFFF"/>
          <w:lang w:eastAsia="ko-KR"/>
        </w:rPr>
        <w:t>Ground column removal</w:t>
      </w:r>
    </w:p>
    <w:p w:rsidR="0065476B" w:rsidRDefault="0065476B" w:rsidP="0065476B">
      <w:pPr>
        <w:adjustRightInd w:val="0"/>
        <w:spacing w:after="0"/>
        <w:ind w:firstLine="720"/>
        <w:rPr>
          <w:rFonts w:ascii="Times New Roman" w:hAnsi="Times New Roman"/>
          <w:sz w:val="20"/>
          <w:szCs w:val="20"/>
        </w:rPr>
      </w:pPr>
    </w:p>
    <w:p w:rsidR="0065476B" w:rsidRDefault="0065476B" w:rsidP="0065476B">
      <w:pPr>
        <w:adjustRightInd w:val="0"/>
        <w:spacing w:after="0"/>
        <w:ind w:firstLine="720"/>
        <w:jc w:val="center"/>
        <w:rPr>
          <w:rFonts w:ascii="Times New Roman" w:hAnsi="Times New Roman"/>
          <w:sz w:val="20"/>
          <w:szCs w:val="20"/>
        </w:rPr>
      </w:pPr>
      <w:r w:rsidRPr="0065476B">
        <w:rPr>
          <w:rFonts w:ascii="Times New Roman" w:hAnsi="Times New Roman"/>
          <w:noProof/>
          <w:sz w:val="20"/>
          <w:szCs w:val="20"/>
          <w:lang w:val="en-IN" w:eastAsia="en-IN"/>
        </w:rPr>
        <w:drawing>
          <wp:inline distT="0" distB="0" distL="0" distR="0">
            <wp:extent cx="4503523" cy="2059459"/>
            <wp:effectExtent l="19050" t="0" r="11327" b="0"/>
            <wp:docPr id="7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5476B" w:rsidRPr="0065476B" w:rsidRDefault="0065476B" w:rsidP="0065476B">
      <w:pPr>
        <w:pStyle w:val="ListParagraph"/>
        <w:numPr>
          <w:ilvl w:val="0"/>
          <w:numId w:val="5"/>
        </w:numPr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  <w:r w:rsidRPr="0065476B">
        <w:rPr>
          <w:rFonts w:ascii="Times New Roman" w:hAnsi="Times New Roman" w:cs="Times New Roman"/>
          <w:shd w:val="clear" w:color="auto" w:fill="FFFFFF"/>
          <w:lang w:eastAsia="ko-KR"/>
        </w:rPr>
        <w:t>First column removal</w:t>
      </w:r>
    </w:p>
    <w:p w:rsidR="0065476B" w:rsidRDefault="0065476B" w:rsidP="0065476B">
      <w:pPr>
        <w:adjustRightInd w:val="0"/>
        <w:spacing w:after="0"/>
        <w:ind w:firstLine="7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eastAsia="ko-KR"/>
        </w:rPr>
        <w:t>Fig. 2</w:t>
      </w:r>
      <w:r w:rsidRPr="00686ED6">
        <w:rPr>
          <w:rFonts w:ascii="Times New Roman" w:hAnsi="Times New Roman" w:cs="Times New Roman"/>
          <w:sz w:val="20"/>
          <w:szCs w:val="20"/>
          <w:shd w:val="clear" w:color="auto" w:fill="FFFFFF"/>
          <w:lang w:eastAsia="ko-KR"/>
        </w:rPr>
        <w:t xml:space="preserve"> </w:t>
      </w:r>
      <w:r w:rsidRPr="00686ED6">
        <w:rPr>
          <w:rFonts w:ascii="Times New Roman" w:hAnsi="Times New Roman" w:cs="Times New Roman"/>
          <w:sz w:val="20"/>
          <w:szCs w:val="20"/>
        </w:rPr>
        <w:t>Comparison of displacement in different cases of column removal</w:t>
      </w:r>
    </w:p>
    <w:p w:rsidR="00D94FF7" w:rsidRDefault="00D94FF7" w:rsidP="00D94FF7">
      <w:pPr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D94FF7" w:rsidRPr="005A73C2" w:rsidRDefault="00A05533" w:rsidP="00D94FF7">
      <w:pPr>
        <w:pStyle w:val="Heading1"/>
        <w:numPr>
          <w:ilvl w:val="0"/>
          <w:numId w:val="3"/>
        </w:numPr>
        <w:spacing w:before="0" w:after="0"/>
        <w:ind w:left="0" w:firstLine="0"/>
        <w:rPr>
          <w:b/>
          <w:bCs/>
          <w:sz w:val="22"/>
          <w:szCs w:val="22"/>
        </w:rPr>
      </w:pPr>
      <w:r w:rsidRPr="00A05533">
        <w:rPr>
          <w:b/>
          <w:bCs/>
          <w:sz w:val="22"/>
          <w:szCs w:val="22"/>
        </w:rPr>
        <w:t xml:space="preserve">Collapse analysis </w:t>
      </w:r>
    </w:p>
    <w:p w:rsidR="007C6CCA" w:rsidRDefault="007C6CCA" w:rsidP="007C6CCA">
      <w:pPr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7C6CCA">
        <w:rPr>
          <w:rFonts w:ascii="Times New Roman" w:hAnsi="Times New Roman"/>
          <w:sz w:val="20"/>
          <w:szCs w:val="20"/>
        </w:rPr>
        <w:t>In order to realize the progressive collapse of the building, the column members at ground and</w:t>
      </w:r>
      <w:r>
        <w:rPr>
          <w:rFonts w:ascii="Times New Roman" w:hAnsi="Times New Roman"/>
          <w:sz w:val="20"/>
          <w:szCs w:val="20"/>
        </w:rPr>
        <w:t xml:space="preserve"> </w:t>
      </w:r>
      <w:r w:rsidRPr="007C6CCA">
        <w:rPr>
          <w:rFonts w:ascii="Times New Roman" w:hAnsi="Times New Roman"/>
          <w:sz w:val="20"/>
          <w:szCs w:val="20"/>
        </w:rPr>
        <w:t>first storey are removed and subjected to incremental loading. The location of the columns which</w:t>
      </w:r>
      <w:r>
        <w:rPr>
          <w:rFonts w:ascii="Times New Roman" w:hAnsi="Times New Roman"/>
          <w:sz w:val="20"/>
          <w:szCs w:val="20"/>
        </w:rPr>
        <w:t xml:space="preserve"> </w:t>
      </w:r>
      <w:r w:rsidRPr="007C6CCA">
        <w:rPr>
          <w:rFonts w:ascii="Times New Roman" w:hAnsi="Times New Roman"/>
          <w:sz w:val="20"/>
          <w:szCs w:val="20"/>
        </w:rPr>
        <w:t>removed for collapse analysis is shown in Fig 1. Eleven cases are considered for the analysis. For</w:t>
      </w:r>
      <w:r>
        <w:rPr>
          <w:rFonts w:ascii="Times New Roman" w:hAnsi="Times New Roman"/>
          <w:sz w:val="20"/>
          <w:szCs w:val="20"/>
        </w:rPr>
        <w:t xml:space="preserve"> </w:t>
      </w:r>
      <w:r w:rsidRPr="007C6CCA">
        <w:rPr>
          <w:rFonts w:ascii="Times New Roman" w:hAnsi="Times New Roman"/>
          <w:sz w:val="20"/>
          <w:szCs w:val="20"/>
        </w:rPr>
        <w:t>the ground floor C1G, C2G, C3G, C4G, C5G cases and for first floor C1F, C2F, C3F, C4F, and</w:t>
      </w:r>
      <w:r>
        <w:rPr>
          <w:rFonts w:ascii="Times New Roman" w:hAnsi="Times New Roman"/>
          <w:sz w:val="20"/>
          <w:szCs w:val="20"/>
        </w:rPr>
        <w:t xml:space="preserve"> </w:t>
      </w:r>
      <w:r w:rsidRPr="007C6CCA">
        <w:rPr>
          <w:rFonts w:ascii="Times New Roman" w:hAnsi="Times New Roman"/>
          <w:sz w:val="20"/>
          <w:szCs w:val="20"/>
        </w:rPr>
        <w:t>C5F, cases are considered, where G refers to the ground floor columns and F for the first floor</w:t>
      </w:r>
      <w:r>
        <w:rPr>
          <w:rFonts w:ascii="Times New Roman" w:hAnsi="Times New Roman"/>
          <w:sz w:val="20"/>
          <w:szCs w:val="20"/>
        </w:rPr>
        <w:t xml:space="preserve"> </w:t>
      </w:r>
      <w:r w:rsidRPr="007C6CCA">
        <w:rPr>
          <w:rFonts w:ascii="Times New Roman" w:hAnsi="Times New Roman"/>
          <w:sz w:val="20"/>
          <w:szCs w:val="20"/>
        </w:rPr>
        <w:t xml:space="preserve">columns. CA refers to the case of intact building with no column removal. </w:t>
      </w:r>
    </w:p>
    <w:p w:rsidR="0057742A" w:rsidRDefault="0057742A" w:rsidP="007C6CCA">
      <w:pPr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774EE" w:rsidRDefault="004774EE" w:rsidP="004774EE">
      <w:pPr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4774EE">
        <w:rPr>
          <w:rFonts w:ascii="Times New Roman" w:hAnsi="Times New Roman"/>
          <w:sz w:val="20"/>
          <w:szCs w:val="20"/>
        </w:rPr>
        <w:t>To compare the nature of collapse for the above said eleven different cases the displacement</w:t>
      </w:r>
      <w:r>
        <w:rPr>
          <w:rFonts w:ascii="Times New Roman" w:hAnsi="Times New Roman"/>
          <w:sz w:val="20"/>
          <w:szCs w:val="20"/>
        </w:rPr>
        <w:t xml:space="preserve"> </w:t>
      </w:r>
      <w:r w:rsidRPr="004774EE">
        <w:rPr>
          <w:rFonts w:ascii="Times New Roman" w:hAnsi="Times New Roman"/>
          <w:sz w:val="20"/>
          <w:szCs w:val="20"/>
        </w:rPr>
        <w:t>versus load steps of push over analysis for are plotted. The most critical column failure observed</w:t>
      </w:r>
      <w:r>
        <w:rPr>
          <w:rFonts w:ascii="Times New Roman" w:hAnsi="Times New Roman"/>
          <w:sz w:val="20"/>
          <w:szCs w:val="20"/>
        </w:rPr>
        <w:t xml:space="preserve"> </w:t>
      </w:r>
      <w:r w:rsidRPr="004774EE">
        <w:rPr>
          <w:rFonts w:ascii="Times New Roman" w:hAnsi="Times New Roman"/>
          <w:sz w:val="20"/>
          <w:szCs w:val="20"/>
        </w:rPr>
        <w:t>from the Fig 2 is C2G i.e. the corner ground column. Capacity spectrum for the intact building</w:t>
      </w:r>
      <w:r>
        <w:rPr>
          <w:rFonts w:ascii="Times New Roman" w:hAnsi="Times New Roman"/>
          <w:sz w:val="20"/>
          <w:szCs w:val="20"/>
        </w:rPr>
        <w:t xml:space="preserve"> </w:t>
      </w:r>
      <w:r w:rsidRPr="004774EE">
        <w:rPr>
          <w:rFonts w:ascii="Times New Roman" w:hAnsi="Times New Roman"/>
          <w:sz w:val="20"/>
          <w:szCs w:val="20"/>
        </w:rPr>
        <w:t>case CA and C2G are shown in Fig 3. For CA case the demand curve intersects the capacity</w:t>
      </w:r>
      <w:r>
        <w:rPr>
          <w:rFonts w:ascii="Times New Roman" w:hAnsi="Times New Roman"/>
          <w:sz w:val="20"/>
          <w:szCs w:val="20"/>
        </w:rPr>
        <w:t xml:space="preserve"> </w:t>
      </w:r>
      <w:r w:rsidRPr="004774EE">
        <w:rPr>
          <w:rFonts w:ascii="Times New Roman" w:hAnsi="Times New Roman"/>
          <w:sz w:val="20"/>
          <w:szCs w:val="20"/>
        </w:rPr>
        <w:t>envelope at the elastic range but for C2G it meets beyond the elastic range. The demand curve</w:t>
      </w:r>
      <w:r>
        <w:rPr>
          <w:rFonts w:ascii="Times New Roman" w:hAnsi="Times New Roman"/>
          <w:sz w:val="20"/>
          <w:szCs w:val="20"/>
        </w:rPr>
        <w:t xml:space="preserve"> </w:t>
      </w:r>
      <w:r w:rsidRPr="004774EE">
        <w:rPr>
          <w:rFonts w:ascii="Times New Roman" w:hAnsi="Times New Roman"/>
          <w:sz w:val="20"/>
          <w:szCs w:val="20"/>
        </w:rPr>
        <w:t>intersects the capacity curve far beyond the elastic range, as illustrated in Fig 3b for C2G case</w:t>
      </w:r>
      <w:r>
        <w:rPr>
          <w:rFonts w:ascii="Times New Roman" w:hAnsi="Times New Roman"/>
          <w:sz w:val="20"/>
          <w:szCs w:val="20"/>
        </w:rPr>
        <w:t xml:space="preserve"> </w:t>
      </w:r>
      <w:r w:rsidRPr="004774EE">
        <w:rPr>
          <w:rFonts w:ascii="Times New Roman" w:hAnsi="Times New Roman"/>
          <w:sz w:val="20"/>
          <w:szCs w:val="20"/>
        </w:rPr>
        <w:t>implies very little reserve of strength and deformation capacity for the structure. Thus the structure</w:t>
      </w:r>
      <w:r>
        <w:rPr>
          <w:rFonts w:ascii="Times New Roman" w:hAnsi="Times New Roman"/>
          <w:sz w:val="20"/>
          <w:szCs w:val="20"/>
        </w:rPr>
        <w:t xml:space="preserve"> </w:t>
      </w:r>
      <w:r w:rsidRPr="004774EE">
        <w:rPr>
          <w:rFonts w:ascii="Times New Roman" w:hAnsi="Times New Roman"/>
          <w:sz w:val="20"/>
          <w:szCs w:val="20"/>
        </w:rPr>
        <w:t>will behave poorly during the imposed seismic excitation.</w:t>
      </w:r>
    </w:p>
    <w:p w:rsidR="0057742A" w:rsidRDefault="0057742A" w:rsidP="004774EE">
      <w:pPr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57742A" w:rsidRDefault="0057742A" w:rsidP="0057742A">
      <w:pPr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57742A">
        <w:rPr>
          <w:rFonts w:ascii="Times New Roman" w:hAnsi="Times New Roman"/>
          <w:sz w:val="20"/>
          <w:szCs w:val="20"/>
        </w:rPr>
        <w:t>The base shear vs. roof displacement curve for model C1G, C2G C3G and CA is plotted from</w:t>
      </w:r>
      <w:r>
        <w:rPr>
          <w:rFonts w:ascii="Times New Roman" w:hAnsi="Times New Roman"/>
          <w:sz w:val="20"/>
          <w:szCs w:val="20"/>
        </w:rPr>
        <w:t xml:space="preserve"> </w:t>
      </w:r>
      <w:r w:rsidRPr="0057742A">
        <w:rPr>
          <w:rFonts w:ascii="Times New Roman" w:hAnsi="Times New Roman"/>
          <w:sz w:val="20"/>
          <w:szCs w:val="20"/>
        </w:rPr>
        <w:t>the results of pushover analysis (Fig 4). The plots for the 4 cases are initially linear but start to</w:t>
      </w:r>
      <w:r>
        <w:rPr>
          <w:rFonts w:ascii="Times New Roman" w:hAnsi="Times New Roman"/>
          <w:sz w:val="20"/>
          <w:szCs w:val="20"/>
        </w:rPr>
        <w:t xml:space="preserve"> </w:t>
      </w:r>
      <w:r w:rsidRPr="0057742A">
        <w:rPr>
          <w:rFonts w:ascii="Times New Roman" w:hAnsi="Times New Roman"/>
          <w:sz w:val="20"/>
          <w:szCs w:val="20"/>
        </w:rPr>
        <w:t>deviate from linearity as the beams and the columns undergo inelastic deformations. When the</w:t>
      </w:r>
      <w:r>
        <w:rPr>
          <w:rFonts w:ascii="Times New Roman" w:hAnsi="Times New Roman"/>
          <w:sz w:val="20"/>
          <w:szCs w:val="20"/>
        </w:rPr>
        <w:t xml:space="preserve"> </w:t>
      </w:r>
      <w:r w:rsidRPr="0057742A">
        <w:rPr>
          <w:rFonts w:ascii="Times New Roman" w:hAnsi="Times New Roman"/>
          <w:sz w:val="20"/>
          <w:szCs w:val="20"/>
        </w:rPr>
        <w:t xml:space="preserve">buildings are pushed well into the </w:t>
      </w:r>
      <w:r w:rsidRPr="0057742A">
        <w:rPr>
          <w:rFonts w:ascii="Times New Roman" w:hAnsi="Times New Roman"/>
          <w:sz w:val="20"/>
          <w:szCs w:val="20"/>
        </w:rPr>
        <w:lastRenderedPageBreak/>
        <w:t>inelastic range, the curves become linear again but with a</w:t>
      </w:r>
      <w:r>
        <w:rPr>
          <w:rFonts w:ascii="Times New Roman" w:hAnsi="Times New Roman"/>
          <w:sz w:val="20"/>
          <w:szCs w:val="20"/>
        </w:rPr>
        <w:t xml:space="preserve"> </w:t>
      </w:r>
      <w:r w:rsidRPr="0057742A">
        <w:rPr>
          <w:rFonts w:ascii="Times New Roman" w:hAnsi="Times New Roman"/>
          <w:sz w:val="20"/>
          <w:szCs w:val="20"/>
        </w:rPr>
        <w:t>smaller slope. It is observed that the failure of a ground storey column in shorter direction of</w:t>
      </w:r>
      <w:r>
        <w:rPr>
          <w:rFonts w:ascii="Times New Roman" w:hAnsi="Times New Roman"/>
          <w:sz w:val="20"/>
          <w:szCs w:val="20"/>
        </w:rPr>
        <w:t xml:space="preserve"> </w:t>
      </w:r>
      <w:r w:rsidRPr="0057742A">
        <w:rPr>
          <w:rFonts w:ascii="Times New Roman" w:hAnsi="Times New Roman"/>
          <w:sz w:val="20"/>
          <w:szCs w:val="20"/>
        </w:rPr>
        <w:t>building for C3G has negligible effect on the load carrying capacity of structure, unlike the</w:t>
      </w:r>
      <w:r>
        <w:rPr>
          <w:rFonts w:ascii="Times New Roman" w:hAnsi="Times New Roman"/>
          <w:sz w:val="20"/>
          <w:szCs w:val="20"/>
        </w:rPr>
        <w:t xml:space="preserve"> </w:t>
      </w:r>
      <w:r w:rsidRPr="0057742A">
        <w:rPr>
          <w:rFonts w:ascii="Times New Roman" w:hAnsi="Times New Roman"/>
          <w:sz w:val="20"/>
          <w:szCs w:val="20"/>
        </w:rPr>
        <w:t>devastating effect on the structure due to localized failure of the corner column for C2G case. The</w:t>
      </w:r>
      <w:r>
        <w:rPr>
          <w:rFonts w:ascii="Times New Roman" w:hAnsi="Times New Roman"/>
          <w:sz w:val="20"/>
          <w:szCs w:val="20"/>
        </w:rPr>
        <w:t xml:space="preserve"> </w:t>
      </w:r>
      <w:r w:rsidRPr="0057742A">
        <w:rPr>
          <w:rFonts w:ascii="Times New Roman" w:hAnsi="Times New Roman"/>
          <w:sz w:val="20"/>
          <w:szCs w:val="20"/>
        </w:rPr>
        <w:t>base shear and displacement at performance point are 3796kN and 0.051m respectively for the</w:t>
      </w:r>
      <w:r>
        <w:rPr>
          <w:rFonts w:ascii="Times New Roman" w:hAnsi="Times New Roman"/>
          <w:sz w:val="20"/>
          <w:szCs w:val="20"/>
        </w:rPr>
        <w:t xml:space="preserve"> </w:t>
      </w:r>
      <w:r w:rsidRPr="0057742A">
        <w:rPr>
          <w:rFonts w:ascii="Times New Roman" w:hAnsi="Times New Roman"/>
          <w:sz w:val="20"/>
          <w:szCs w:val="20"/>
        </w:rPr>
        <w:t>C3G and is comparable with model CA. The base shear and displacement at performance point are</w:t>
      </w:r>
      <w:r>
        <w:rPr>
          <w:rFonts w:ascii="Times New Roman" w:hAnsi="Times New Roman"/>
          <w:sz w:val="20"/>
          <w:szCs w:val="20"/>
        </w:rPr>
        <w:t xml:space="preserve"> </w:t>
      </w:r>
      <w:r w:rsidRPr="0057742A">
        <w:rPr>
          <w:rFonts w:ascii="Times New Roman" w:hAnsi="Times New Roman"/>
          <w:sz w:val="20"/>
          <w:szCs w:val="20"/>
        </w:rPr>
        <w:t>2273kN and 0.032m respectively for the C2G case. The reduction in base shear for C3G is 10</w:t>
      </w:r>
      <w:r>
        <w:rPr>
          <w:rFonts w:ascii="Times New Roman" w:hAnsi="Times New Roman"/>
          <w:sz w:val="20"/>
          <w:szCs w:val="20"/>
        </w:rPr>
        <w:t xml:space="preserve"> </w:t>
      </w:r>
      <w:r w:rsidRPr="0057742A">
        <w:rPr>
          <w:rFonts w:ascii="Times New Roman" w:hAnsi="Times New Roman"/>
          <w:sz w:val="20"/>
          <w:szCs w:val="20"/>
        </w:rPr>
        <w:t>percent and for C2G is 46 percent when compared with CA model.</w:t>
      </w:r>
    </w:p>
    <w:p w:rsidR="00F12590" w:rsidRDefault="00F12590" w:rsidP="0057742A">
      <w:pPr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12590" w:rsidRDefault="00F12590" w:rsidP="00F12590">
      <w:pPr>
        <w:adjustRightInd w:val="0"/>
        <w:spacing w:after="0"/>
        <w:ind w:firstLine="720"/>
        <w:jc w:val="center"/>
        <w:rPr>
          <w:rFonts w:ascii="Times New Roman" w:hAnsi="Times New Roman"/>
          <w:sz w:val="20"/>
          <w:szCs w:val="20"/>
        </w:rPr>
      </w:pPr>
      <w:r w:rsidRPr="00F12590">
        <w:rPr>
          <w:rFonts w:ascii="Times New Roman" w:hAnsi="Times New Roman"/>
          <w:noProof/>
          <w:sz w:val="20"/>
          <w:szCs w:val="20"/>
          <w:lang w:val="en-IN" w:eastAsia="en-IN"/>
        </w:rPr>
        <w:drawing>
          <wp:inline distT="0" distB="0" distL="0" distR="0">
            <wp:extent cx="3383280" cy="2822465"/>
            <wp:effectExtent l="19050" t="0" r="7620" b="0"/>
            <wp:docPr id="4" name="Picture 2" descr="C:\Documents and Settings\Vidhya\Desktop\vidya final 17-6-2013\CAPACITY SPECTRUM C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Vidhya\Desktop\vidya final 17-6-2013\CAPACITY SPECTRUM CA.bmp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282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590" w:rsidRPr="00F12590" w:rsidRDefault="00F12590" w:rsidP="00F12590">
      <w:pPr>
        <w:pStyle w:val="ListParagraph"/>
        <w:numPr>
          <w:ilvl w:val="0"/>
          <w:numId w:val="6"/>
        </w:numPr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12590">
        <w:rPr>
          <w:rFonts w:ascii="Times New Roman" w:hAnsi="Times New Roman" w:cs="Times New Roman"/>
          <w:sz w:val="20"/>
          <w:szCs w:val="20"/>
        </w:rPr>
        <w:t>CA</w:t>
      </w:r>
    </w:p>
    <w:p w:rsidR="00F12590" w:rsidRDefault="00F12590" w:rsidP="00F12590">
      <w:pPr>
        <w:pStyle w:val="ListParagraph"/>
        <w:adjustRightInd w:val="0"/>
        <w:spacing w:after="0"/>
        <w:ind w:left="1080"/>
        <w:rPr>
          <w:rFonts w:ascii="Times New Roman" w:hAnsi="Times New Roman"/>
          <w:sz w:val="20"/>
          <w:szCs w:val="20"/>
        </w:rPr>
      </w:pPr>
    </w:p>
    <w:p w:rsidR="00F12590" w:rsidRDefault="00F12590" w:rsidP="00F12590">
      <w:pPr>
        <w:pStyle w:val="ListParagraph"/>
        <w:adjustRightInd w:val="0"/>
        <w:spacing w:after="0"/>
        <w:ind w:left="1080"/>
        <w:jc w:val="center"/>
        <w:rPr>
          <w:rFonts w:ascii="Times New Roman" w:hAnsi="Times New Roman"/>
          <w:sz w:val="20"/>
          <w:szCs w:val="20"/>
        </w:rPr>
      </w:pPr>
      <w:r w:rsidRPr="00F12590">
        <w:rPr>
          <w:rFonts w:ascii="Times New Roman" w:hAnsi="Times New Roman"/>
          <w:noProof/>
          <w:sz w:val="20"/>
          <w:szCs w:val="20"/>
          <w:lang w:val="en-IN" w:eastAsia="en-IN"/>
        </w:rPr>
        <w:drawing>
          <wp:inline distT="0" distB="0" distL="0" distR="0">
            <wp:extent cx="3383280" cy="2822568"/>
            <wp:effectExtent l="19050" t="0" r="7620" b="0"/>
            <wp:docPr id="5" name="Picture 3" descr="C:\Documents and Settings\Vidhya\Desktop\vidya final 17-6-2013\CAPCITY SPECTRUM C2G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Vidhya\Desktop\vidya final 17-6-2013\CAPCITY SPECTRUM C2G.bmp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2822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590" w:rsidRPr="002A32AB" w:rsidRDefault="00F12590" w:rsidP="00F12590">
      <w:pPr>
        <w:pStyle w:val="ListParagraph"/>
        <w:numPr>
          <w:ilvl w:val="0"/>
          <w:numId w:val="6"/>
        </w:numPr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  <w:r w:rsidRPr="00D0799D">
        <w:rPr>
          <w:rFonts w:ascii="Times New Roman" w:hAnsi="Times New Roman" w:cs="Times New Roman"/>
          <w:sz w:val="20"/>
          <w:szCs w:val="20"/>
        </w:rPr>
        <w:t>C2G</w:t>
      </w:r>
    </w:p>
    <w:p w:rsidR="002A32AB" w:rsidRDefault="002A32AB" w:rsidP="002A32AB">
      <w:pPr>
        <w:pStyle w:val="ListParagraph"/>
        <w:adjustRightInd w:val="0"/>
        <w:spacing w:after="0"/>
        <w:ind w:left="1080"/>
        <w:jc w:val="center"/>
        <w:rPr>
          <w:rFonts w:ascii="Times New Roman" w:hAnsi="Times New Roman" w:cs="Times New Roman"/>
          <w:sz w:val="20"/>
          <w:shd w:val="clear" w:color="auto" w:fill="FFFFFF"/>
          <w:lang w:eastAsia="ko-KR"/>
        </w:rPr>
      </w:pPr>
      <w:r>
        <w:rPr>
          <w:rFonts w:ascii="Times New Roman" w:hAnsi="Times New Roman" w:cs="Times New Roman"/>
          <w:sz w:val="20"/>
          <w:shd w:val="clear" w:color="auto" w:fill="FFFFFF"/>
          <w:lang w:eastAsia="ko-KR"/>
        </w:rPr>
        <w:t>Fig 3 Capacity spectrum for different cases</w:t>
      </w:r>
    </w:p>
    <w:p w:rsidR="00010A49" w:rsidRDefault="00010A49" w:rsidP="002A32AB">
      <w:pPr>
        <w:pStyle w:val="ListParagraph"/>
        <w:adjustRightInd w:val="0"/>
        <w:spacing w:after="0"/>
        <w:ind w:left="1080"/>
        <w:jc w:val="center"/>
        <w:rPr>
          <w:rFonts w:ascii="Times New Roman" w:hAnsi="Times New Roman" w:cs="Times New Roman"/>
          <w:sz w:val="20"/>
          <w:shd w:val="clear" w:color="auto" w:fill="FFFFFF"/>
          <w:lang w:eastAsia="ko-KR"/>
        </w:rPr>
      </w:pPr>
    </w:p>
    <w:p w:rsidR="00010A49" w:rsidRDefault="00010A49" w:rsidP="002A32AB">
      <w:pPr>
        <w:pStyle w:val="ListParagraph"/>
        <w:adjustRightInd w:val="0"/>
        <w:spacing w:after="0"/>
        <w:ind w:left="1080"/>
        <w:jc w:val="center"/>
        <w:rPr>
          <w:rFonts w:ascii="Times New Roman" w:hAnsi="Times New Roman" w:cs="Times New Roman"/>
          <w:sz w:val="20"/>
          <w:shd w:val="clear" w:color="auto" w:fill="FFFFFF"/>
          <w:lang w:eastAsia="ko-KR"/>
        </w:rPr>
      </w:pPr>
    </w:p>
    <w:p w:rsidR="00010A49" w:rsidRDefault="00010A49" w:rsidP="002A32AB">
      <w:pPr>
        <w:pStyle w:val="ListParagraph"/>
        <w:adjustRightInd w:val="0"/>
        <w:spacing w:after="0"/>
        <w:ind w:left="1080"/>
        <w:jc w:val="center"/>
        <w:rPr>
          <w:rFonts w:ascii="Times New Roman" w:hAnsi="Times New Roman" w:cs="Times New Roman"/>
          <w:sz w:val="20"/>
          <w:shd w:val="clear" w:color="auto" w:fill="FFFFFF"/>
          <w:lang w:eastAsia="ko-KR"/>
        </w:rPr>
      </w:pPr>
    </w:p>
    <w:p w:rsidR="00010A49" w:rsidRDefault="00010A49" w:rsidP="002A32AB">
      <w:pPr>
        <w:pStyle w:val="ListParagraph"/>
        <w:adjustRightInd w:val="0"/>
        <w:spacing w:after="0"/>
        <w:ind w:left="1080"/>
        <w:jc w:val="center"/>
        <w:rPr>
          <w:rFonts w:ascii="Times New Roman" w:hAnsi="Times New Roman"/>
          <w:sz w:val="20"/>
          <w:szCs w:val="20"/>
        </w:rPr>
      </w:pPr>
      <w:r w:rsidRPr="00010A49">
        <w:rPr>
          <w:rFonts w:ascii="Times New Roman" w:hAnsi="Times New Roman" w:cs="Times New Roman"/>
          <w:noProof/>
          <w:sz w:val="20"/>
          <w:shd w:val="clear" w:color="auto" w:fill="FFFFFF"/>
          <w:lang w:val="en-IN" w:eastAsia="en-IN"/>
        </w:rPr>
        <w:lastRenderedPageBreak/>
        <w:drawing>
          <wp:inline distT="0" distB="0" distL="0" distR="0">
            <wp:extent cx="4463522" cy="2064609"/>
            <wp:effectExtent l="19050" t="0" r="13228" b="0"/>
            <wp:docPr id="57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10A49" w:rsidRDefault="00D44962" w:rsidP="002A32AB">
      <w:pPr>
        <w:pStyle w:val="ListParagraph"/>
        <w:adjustRightInd w:val="0"/>
        <w:spacing w:after="0"/>
        <w:ind w:left="1080"/>
        <w:jc w:val="center"/>
        <w:rPr>
          <w:rFonts w:ascii="Times New Roman" w:hAnsi="Times New Roman"/>
          <w:sz w:val="20"/>
          <w:szCs w:val="20"/>
        </w:rPr>
      </w:pPr>
      <w:r w:rsidRPr="00D44962">
        <w:rPr>
          <w:rFonts w:ascii="Times New Roman" w:hAnsi="Times New Roman"/>
          <w:sz w:val="20"/>
          <w:szCs w:val="20"/>
        </w:rPr>
        <w:t>Fig. 4 Shear forces Vs displacement</w:t>
      </w:r>
    </w:p>
    <w:p w:rsidR="00D44962" w:rsidRDefault="00D44962" w:rsidP="002A32AB">
      <w:pPr>
        <w:pStyle w:val="ListParagraph"/>
        <w:adjustRightInd w:val="0"/>
        <w:spacing w:after="0"/>
        <w:ind w:left="1080"/>
        <w:jc w:val="center"/>
        <w:rPr>
          <w:rFonts w:ascii="Times New Roman" w:hAnsi="Times New Roman"/>
          <w:sz w:val="20"/>
          <w:szCs w:val="20"/>
        </w:rPr>
      </w:pPr>
    </w:p>
    <w:p w:rsidR="00D44962" w:rsidRDefault="00D44962" w:rsidP="00D44962">
      <w:pPr>
        <w:pStyle w:val="ListParagraph"/>
        <w:adjustRightInd w:val="0"/>
        <w:spacing w:after="0"/>
        <w:ind w:left="1080"/>
        <w:rPr>
          <w:sz w:val="20"/>
          <w:lang w:eastAsia="ko-KR"/>
        </w:rPr>
      </w:pPr>
      <w:r>
        <w:rPr>
          <w:rFonts w:ascii="Times New Roman" w:hAnsi="Times New Roman"/>
          <w:noProof/>
          <w:sz w:val="20"/>
          <w:szCs w:val="20"/>
          <w:lang w:val="en-IN" w:eastAsia="en-IN"/>
        </w:rPr>
        <w:drawing>
          <wp:inline distT="0" distB="0" distL="0" distR="0">
            <wp:extent cx="2114550" cy="2627979"/>
            <wp:effectExtent l="19050" t="0" r="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627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lang w:eastAsia="ko-KR"/>
        </w:rPr>
        <w:t xml:space="preserve">                          </w:t>
      </w:r>
      <w:r w:rsidRPr="00FB67A3">
        <w:rPr>
          <w:sz w:val="20"/>
          <w:lang w:eastAsia="ko-KR"/>
        </w:rPr>
        <w:object w:dxaOrig="5565" w:dyaOrig="7125">
          <v:shape id="_x0000_i1026" type="#_x0000_t75" style="width:160.85pt;height:205.6pt" o:ole="">
            <v:imagedata r:id="rId16" o:title=""/>
          </v:shape>
          <o:OLEObject Type="Embed" ProgID="PBrush" ShapeID="_x0000_i1026" DrawAspect="Content" ObjectID="_1448105794" r:id="rId17"/>
        </w:object>
      </w:r>
    </w:p>
    <w:p w:rsidR="001329A1" w:rsidRDefault="001329A1" w:rsidP="001329A1">
      <w:pPr>
        <w:pStyle w:val="ListParagraph"/>
        <w:numPr>
          <w:ilvl w:val="0"/>
          <w:numId w:val="8"/>
        </w:numPr>
        <w:adjustRightInd w:val="0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1329A1">
        <w:rPr>
          <w:rFonts w:ascii="Times New Roman" w:hAnsi="Times New Roman"/>
          <w:sz w:val="20"/>
          <w:szCs w:val="20"/>
        </w:rPr>
        <w:t>CA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b) </w:t>
      </w:r>
      <w:r w:rsidRPr="001329A1">
        <w:rPr>
          <w:rFonts w:ascii="Times New Roman" w:hAnsi="Times New Roman"/>
          <w:sz w:val="20"/>
          <w:szCs w:val="20"/>
        </w:rPr>
        <w:t>C2G</w:t>
      </w:r>
    </w:p>
    <w:p w:rsidR="001329A1" w:rsidRDefault="001329A1" w:rsidP="001329A1">
      <w:pPr>
        <w:pStyle w:val="ListParagraph"/>
        <w:adjustRightInd w:val="0"/>
        <w:spacing w:after="0"/>
        <w:ind w:left="2640"/>
        <w:rPr>
          <w:rFonts w:ascii="Times New Roman" w:hAnsi="Times New Roman"/>
          <w:sz w:val="20"/>
          <w:szCs w:val="20"/>
        </w:rPr>
      </w:pPr>
      <w:r w:rsidRPr="001329A1">
        <w:rPr>
          <w:rFonts w:ascii="Times New Roman" w:hAnsi="Times New Roman"/>
          <w:sz w:val="20"/>
          <w:szCs w:val="20"/>
        </w:rPr>
        <w:t>Fig. 5 Hinge formation at the performance point</w:t>
      </w:r>
    </w:p>
    <w:p w:rsidR="00516E12" w:rsidRDefault="00516E12" w:rsidP="001329A1">
      <w:pPr>
        <w:pStyle w:val="ListParagraph"/>
        <w:adjustRightInd w:val="0"/>
        <w:spacing w:after="0"/>
        <w:ind w:left="2640"/>
        <w:rPr>
          <w:rFonts w:ascii="Times New Roman" w:hAnsi="Times New Roman"/>
          <w:sz w:val="20"/>
          <w:szCs w:val="20"/>
        </w:rPr>
      </w:pPr>
    </w:p>
    <w:p w:rsidR="00516E12" w:rsidRDefault="00516E12" w:rsidP="00516E12">
      <w:pPr>
        <w:pStyle w:val="ListParagraph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516E12">
        <w:rPr>
          <w:rFonts w:ascii="Times New Roman" w:hAnsi="Times New Roman"/>
          <w:sz w:val="20"/>
          <w:szCs w:val="20"/>
        </w:rPr>
        <w:t>The Fig 5 shows the plastic hinge formation of CA and C2G cases at the performance level. Plastic</w:t>
      </w:r>
      <w:r>
        <w:rPr>
          <w:rFonts w:ascii="Times New Roman" w:hAnsi="Times New Roman"/>
          <w:sz w:val="20"/>
          <w:szCs w:val="20"/>
        </w:rPr>
        <w:t xml:space="preserve"> </w:t>
      </w:r>
      <w:r w:rsidRPr="00516E12">
        <w:rPr>
          <w:rFonts w:ascii="Times New Roman" w:hAnsi="Times New Roman"/>
          <w:sz w:val="20"/>
          <w:szCs w:val="20"/>
        </w:rPr>
        <w:t>hinges formation starts with beam ends and base columns of lower stories, then propagates to</w:t>
      </w:r>
      <w:r>
        <w:rPr>
          <w:rFonts w:ascii="Times New Roman" w:hAnsi="Times New Roman"/>
          <w:sz w:val="20"/>
          <w:szCs w:val="20"/>
        </w:rPr>
        <w:t xml:space="preserve"> </w:t>
      </w:r>
      <w:r w:rsidRPr="00516E12">
        <w:rPr>
          <w:rFonts w:ascii="Times New Roman" w:hAnsi="Times New Roman"/>
          <w:sz w:val="20"/>
          <w:szCs w:val="20"/>
        </w:rPr>
        <w:t>upper stories and continue with yielding of interior intermediate columns in the upper stories. The</w:t>
      </w:r>
      <w:r>
        <w:rPr>
          <w:rFonts w:ascii="Times New Roman" w:hAnsi="Times New Roman"/>
          <w:sz w:val="20"/>
          <w:szCs w:val="20"/>
        </w:rPr>
        <w:t xml:space="preserve"> </w:t>
      </w:r>
      <w:r w:rsidRPr="00516E12">
        <w:rPr>
          <w:rFonts w:ascii="Times New Roman" w:hAnsi="Times New Roman"/>
          <w:sz w:val="20"/>
          <w:szCs w:val="20"/>
        </w:rPr>
        <w:t>hinge formation at performance point for the CA case shows that the amount of damage in the</w:t>
      </w:r>
      <w:r>
        <w:rPr>
          <w:rFonts w:ascii="Times New Roman" w:hAnsi="Times New Roman"/>
          <w:sz w:val="20"/>
          <w:szCs w:val="20"/>
        </w:rPr>
        <w:t xml:space="preserve"> </w:t>
      </w:r>
      <w:r w:rsidRPr="00516E12">
        <w:rPr>
          <w:rFonts w:ascii="Times New Roman" w:hAnsi="Times New Roman"/>
          <w:sz w:val="20"/>
          <w:szCs w:val="20"/>
        </w:rPr>
        <w:t>building is limited below IO level and for C2G case the the hinge formation is above the IO level.</w:t>
      </w:r>
      <w:r>
        <w:rPr>
          <w:rFonts w:ascii="Times New Roman" w:hAnsi="Times New Roman"/>
          <w:sz w:val="20"/>
          <w:szCs w:val="20"/>
        </w:rPr>
        <w:t xml:space="preserve"> </w:t>
      </w:r>
      <w:r w:rsidRPr="00516E12">
        <w:rPr>
          <w:rFonts w:ascii="Times New Roman" w:hAnsi="Times New Roman"/>
          <w:sz w:val="20"/>
          <w:szCs w:val="20"/>
        </w:rPr>
        <w:t>For the CA case the hinges are formed in the ground floor columns and for the C2G case the</w:t>
      </w:r>
      <w:r>
        <w:rPr>
          <w:rFonts w:ascii="Times New Roman" w:hAnsi="Times New Roman"/>
          <w:sz w:val="20"/>
          <w:szCs w:val="20"/>
        </w:rPr>
        <w:t xml:space="preserve"> </w:t>
      </w:r>
      <w:r w:rsidRPr="00516E12">
        <w:rPr>
          <w:rFonts w:ascii="Times New Roman" w:hAnsi="Times New Roman"/>
          <w:sz w:val="20"/>
          <w:szCs w:val="20"/>
        </w:rPr>
        <w:t>hinges formed upto the first storey columns at the performance level. This gives the information</w:t>
      </w:r>
      <w:r>
        <w:rPr>
          <w:rFonts w:ascii="Times New Roman" w:hAnsi="Times New Roman"/>
          <w:sz w:val="20"/>
          <w:szCs w:val="20"/>
        </w:rPr>
        <w:t xml:space="preserve"> </w:t>
      </w:r>
      <w:r w:rsidRPr="00516E12">
        <w:rPr>
          <w:rFonts w:ascii="Times New Roman" w:hAnsi="Times New Roman"/>
          <w:sz w:val="20"/>
          <w:szCs w:val="20"/>
        </w:rPr>
        <w:t>about the weakest member and it can be retrofitted. Accordingly the detailing of the member can</w:t>
      </w:r>
      <w:r>
        <w:rPr>
          <w:rFonts w:ascii="Times New Roman" w:hAnsi="Times New Roman"/>
          <w:sz w:val="20"/>
          <w:szCs w:val="20"/>
        </w:rPr>
        <w:t xml:space="preserve"> </w:t>
      </w:r>
      <w:r w:rsidRPr="00516E12">
        <w:rPr>
          <w:rFonts w:ascii="Times New Roman" w:hAnsi="Times New Roman"/>
          <w:sz w:val="20"/>
          <w:szCs w:val="20"/>
        </w:rPr>
        <w:t>be done in order to achieve the desired pattern of failure of members in case of severe earthquakes.</w:t>
      </w:r>
    </w:p>
    <w:p w:rsidR="00305E64" w:rsidRDefault="00305E64" w:rsidP="00516E12">
      <w:pPr>
        <w:pStyle w:val="ListParagraph"/>
        <w:ind w:left="0" w:firstLine="720"/>
        <w:jc w:val="both"/>
        <w:rPr>
          <w:rFonts w:ascii="Times New Roman" w:hAnsi="Times New Roman"/>
          <w:sz w:val="20"/>
          <w:szCs w:val="20"/>
        </w:rPr>
      </w:pPr>
    </w:p>
    <w:p w:rsidR="00305E64" w:rsidRDefault="00305E64" w:rsidP="00305E64">
      <w:pPr>
        <w:pStyle w:val="ListParagraph"/>
        <w:tabs>
          <w:tab w:val="left" w:pos="0"/>
        </w:tabs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305E64">
        <w:rPr>
          <w:rFonts w:ascii="Times New Roman" w:hAnsi="Times New Roman"/>
          <w:sz w:val="20"/>
          <w:szCs w:val="20"/>
        </w:rPr>
        <w:t>The result of progressive collapse showed that the failure of the corner columns are more</w:t>
      </w:r>
      <w:r>
        <w:rPr>
          <w:rFonts w:ascii="Times New Roman" w:hAnsi="Times New Roman"/>
          <w:sz w:val="20"/>
          <w:szCs w:val="20"/>
        </w:rPr>
        <w:t xml:space="preserve"> </w:t>
      </w:r>
      <w:r w:rsidRPr="00305E64">
        <w:rPr>
          <w:rFonts w:ascii="Times New Roman" w:hAnsi="Times New Roman"/>
          <w:sz w:val="20"/>
          <w:szCs w:val="20"/>
        </w:rPr>
        <w:t>critical and during sudden failure of this columns that load is transferred to the nearby beams.</w:t>
      </w:r>
      <w:r>
        <w:rPr>
          <w:rFonts w:ascii="Times New Roman" w:hAnsi="Times New Roman"/>
          <w:sz w:val="20"/>
          <w:szCs w:val="20"/>
        </w:rPr>
        <w:t xml:space="preserve"> </w:t>
      </w:r>
      <w:r w:rsidRPr="00305E64">
        <w:rPr>
          <w:rFonts w:ascii="Times New Roman" w:hAnsi="Times New Roman"/>
          <w:sz w:val="20"/>
          <w:szCs w:val="20"/>
        </w:rPr>
        <w:t>Since these nearby structural elements are not designed to carry this unprecedented load they will</w:t>
      </w:r>
      <w:r>
        <w:rPr>
          <w:rFonts w:ascii="Times New Roman" w:hAnsi="Times New Roman"/>
          <w:sz w:val="20"/>
          <w:szCs w:val="20"/>
        </w:rPr>
        <w:t xml:space="preserve"> </w:t>
      </w:r>
      <w:r w:rsidRPr="00305E64">
        <w:rPr>
          <w:rFonts w:ascii="Times New Roman" w:hAnsi="Times New Roman"/>
          <w:sz w:val="20"/>
          <w:szCs w:val="20"/>
        </w:rPr>
        <w:t>mostly fail and ultimately leading to total collapse of the structure. To reduce the impact of this</w:t>
      </w:r>
      <w:r>
        <w:rPr>
          <w:rFonts w:ascii="Times New Roman" w:hAnsi="Times New Roman"/>
          <w:sz w:val="20"/>
          <w:szCs w:val="20"/>
        </w:rPr>
        <w:t xml:space="preserve"> </w:t>
      </w:r>
      <w:r w:rsidRPr="00305E64">
        <w:rPr>
          <w:rFonts w:ascii="Times New Roman" w:hAnsi="Times New Roman"/>
          <w:sz w:val="20"/>
          <w:szCs w:val="20"/>
        </w:rPr>
        <w:t>kind failure the stiffness of the beams connected to the corner columns can be increased. It is</w:t>
      </w:r>
      <w:r>
        <w:rPr>
          <w:rFonts w:ascii="Times New Roman" w:hAnsi="Times New Roman"/>
          <w:sz w:val="20"/>
          <w:szCs w:val="20"/>
        </w:rPr>
        <w:t xml:space="preserve"> </w:t>
      </w:r>
      <w:r w:rsidRPr="00305E64">
        <w:rPr>
          <w:rFonts w:ascii="Times New Roman" w:hAnsi="Times New Roman"/>
          <w:sz w:val="20"/>
          <w:szCs w:val="20"/>
        </w:rPr>
        <w:t>observed that when the depth of the beams B1 and B2 as shown in Fig 1 is increased by 50 mm the</w:t>
      </w:r>
      <w:r>
        <w:rPr>
          <w:rFonts w:ascii="Times New Roman" w:hAnsi="Times New Roman"/>
          <w:sz w:val="20"/>
          <w:szCs w:val="20"/>
        </w:rPr>
        <w:t xml:space="preserve"> </w:t>
      </w:r>
      <w:r w:rsidRPr="00305E64">
        <w:rPr>
          <w:rFonts w:ascii="Times New Roman" w:hAnsi="Times New Roman"/>
          <w:sz w:val="20"/>
          <w:szCs w:val="20"/>
        </w:rPr>
        <w:t xml:space="preserve">base shear of the columns increases by 42.5 percent. For the C2G case the stiffness of </w:t>
      </w:r>
      <w:r w:rsidRPr="00305E64">
        <w:rPr>
          <w:rFonts w:ascii="Times New Roman" w:hAnsi="Times New Roman"/>
          <w:sz w:val="20"/>
          <w:szCs w:val="20"/>
        </w:rPr>
        <w:lastRenderedPageBreak/>
        <w:t>B1 and B2</w:t>
      </w:r>
      <w:r>
        <w:rPr>
          <w:rFonts w:ascii="Times New Roman" w:hAnsi="Times New Roman"/>
          <w:sz w:val="20"/>
          <w:szCs w:val="20"/>
        </w:rPr>
        <w:t xml:space="preserve"> </w:t>
      </w:r>
      <w:r w:rsidRPr="00305E64">
        <w:rPr>
          <w:rFonts w:ascii="Times New Roman" w:hAnsi="Times New Roman"/>
          <w:sz w:val="20"/>
          <w:szCs w:val="20"/>
        </w:rPr>
        <w:t>increased that case refers to C2G-A case. The displacement Vs steps in pushover analysis for C2G</w:t>
      </w:r>
      <w:r>
        <w:rPr>
          <w:rFonts w:ascii="Times New Roman" w:hAnsi="Times New Roman"/>
          <w:sz w:val="20"/>
          <w:szCs w:val="20"/>
        </w:rPr>
        <w:t xml:space="preserve"> </w:t>
      </w:r>
      <w:r w:rsidRPr="00305E64">
        <w:rPr>
          <w:rFonts w:ascii="Times New Roman" w:hAnsi="Times New Roman"/>
          <w:sz w:val="20"/>
          <w:szCs w:val="20"/>
        </w:rPr>
        <w:t>and C2G-A cases are shown in Fig.6. The base shear and displacement at performance point is</w:t>
      </w:r>
      <w:r>
        <w:rPr>
          <w:rFonts w:ascii="Times New Roman" w:hAnsi="Times New Roman"/>
          <w:sz w:val="20"/>
          <w:szCs w:val="20"/>
        </w:rPr>
        <w:t xml:space="preserve"> </w:t>
      </w:r>
      <w:r w:rsidRPr="00305E64">
        <w:rPr>
          <w:rFonts w:ascii="Times New Roman" w:hAnsi="Times New Roman"/>
          <w:sz w:val="20"/>
          <w:szCs w:val="20"/>
        </w:rPr>
        <w:t>3956kN and 0.062m respectively for C2G-A model. The percentage increase in base shear of</w:t>
      </w:r>
      <w:r>
        <w:rPr>
          <w:rFonts w:ascii="Times New Roman" w:hAnsi="Times New Roman"/>
          <w:sz w:val="20"/>
          <w:szCs w:val="20"/>
        </w:rPr>
        <w:t xml:space="preserve"> </w:t>
      </w:r>
      <w:r w:rsidRPr="00305E64">
        <w:rPr>
          <w:rFonts w:ascii="Times New Roman" w:hAnsi="Times New Roman"/>
          <w:sz w:val="20"/>
          <w:szCs w:val="20"/>
        </w:rPr>
        <w:t>columns is 42.5 percent if the stiffness of B1 and B2 increases 27.1 percent.</w:t>
      </w:r>
    </w:p>
    <w:p w:rsidR="008541B0" w:rsidRDefault="008541B0" w:rsidP="00305E64">
      <w:pPr>
        <w:pStyle w:val="ListParagraph"/>
        <w:tabs>
          <w:tab w:val="left" w:pos="0"/>
        </w:tabs>
        <w:ind w:left="0" w:firstLine="720"/>
        <w:jc w:val="both"/>
        <w:rPr>
          <w:rFonts w:ascii="Times New Roman" w:hAnsi="Times New Roman"/>
          <w:sz w:val="20"/>
          <w:szCs w:val="20"/>
        </w:rPr>
      </w:pPr>
    </w:p>
    <w:p w:rsidR="008541B0" w:rsidRDefault="008541B0" w:rsidP="00AF7C4A">
      <w:pPr>
        <w:pStyle w:val="ListParagraph"/>
        <w:tabs>
          <w:tab w:val="left" w:pos="0"/>
        </w:tabs>
        <w:ind w:left="0" w:firstLine="720"/>
        <w:jc w:val="center"/>
        <w:rPr>
          <w:rFonts w:ascii="Times New Roman" w:hAnsi="Times New Roman"/>
          <w:sz w:val="20"/>
          <w:szCs w:val="20"/>
        </w:rPr>
      </w:pPr>
      <w:r w:rsidRPr="008541B0">
        <w:rPr>
          <w:rFonts w:ascii="Times New Roman" w:hAnsi="Times New Roman"/>
          <w:noProof/>
          <w:sz w:val="20"/>
          <w:szCs w:val="20"/>
          <w:lang w:val="en-IN" w:eastAsia="en-IN"/>
        </w:rPr>
        <w:drawing>
          <wp:inline distT="0" distB="0" distL="0" distR="0">
            <wp:extent cx="4569425" cy="1620314"/>
            <wp:effectExtent l="19050" t="0" r="21625" b="0"/>
            <wp:docPr id="9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53BEE" w:rsidRPr="00305E64" w:rsidRDefault="00453BEE" w:rsidP="00AF7C4A">
      <w:pPr>
        <w:pStyle w:val="ListParagraph"/>
        <w:tabs>
          <w:tab w:val="left" w:pos="0"/>
        </w:tabs>
        <w:ind w:left="0" w:firstLine="720"/>
        <w:jc w:val="center"/>
        <w:rPr>
          <w:rFonts w:ascii="Times New Roman" w:hAnsi="Times New Roman"/>
          <w:sz w:val="20"/>
          <w:szCs w:val="20"/>
        </w:rPr>
      </w:pPr>
      <w:r w:rsidRPr="00453BEE">
        <w:rPr>
          <w:rFonts w:ascii="Times New Roman" w:hAnsi="Times New Roman"/>
          <w:sz w:val="20"/>
          <w:szCs w:val="20"/>
        </w:rPr>
        <w:t>Fig. 6 Comparison by changing stiffness</w:t>
      </w:r>
    </w:p>
    <w:p w:rsidR="00D94FF7" w:rsidRPr="005A73C2" w:rsidRDefault="00D94FF7" w:rsidP="00D94FF7">
      <w:pPr>
        <w:pStyle w:val="Heading1"/>
        <w:numPr>
          <w:ilvl w:val="0"/>
          <w:numId w:val="3"/>
        </w:numPr>
        <w:spacing w:before="0" w:after="0"/>
        <w:ind w:left="0" w:firstLine="0"/>
        <w:rPr>
          <w:b/>
          <w:bCs/>
          <w:sz w:val="22"/>
          <w:szCs w:val="22"/>
        </w:rPr>
      </w:pPr>
      <w:r w:rsidRPr="005A73C2">
        <w:rPr>
          <w:b/>
          <w:bCs/>
          <w:sz w:val="22"/>
          <w:szCs w:val="22"/>
        </w:rPr>
        <w:t>Conclusion</w:t>
      </w:r>
      <w:r>
        <w:rPr>
          <w:b/>
          <w:bCs/>
          <w:sz w:val="22"/>
          <w:szCs w:val="22"/>
        </w:rPr>
        <w:t xml:space="preserve"> </w:t>
      </w:r>
    </w:p>
    <w:p w:rsidR="00D94FF7" w:rsidRDefault="00D478AC" w:rsidP="00CA188D">
      <w:pPr>
        <w:pStyle w:val="Text"/>
        <w:ind w:firstLine="720"/>
      </w:pPr>
      <w:r w:rsidRPr="00D478AC">
        <w:t>The seismic performance of a building can be evaluated in terms of pushover curve,</w:t>
      </w:r>
      <w:r w:rsidR="00CA188D">
        <w:t xml:space="preserve"> </w:t>
      </w:r>
      <w:r w:rsidRPr="00D478AC">
        <w:t>performance point, plastic hinge formation etc. It is concluded that pushover analysis is a</w:t>
      </w:r>
      <w:r w:rsidR="00CA188D">
        <w:t xml:space="preserve"> </w:t>
      </w:r>
      <w:r w:rsidRPr="00D478AC">
        <w:t>successful method in determination of the sequence of yielding of the components of a building</w:t>
      </w:r>
      <w:r w:rsidR="00CA188D">
        <w:t xml:space="preserve"> </w:t>
      </w:r>
      <w:r w:rsidRPr="00D478AC">
        <w:t>and possible mode of failure. The final state of the building after a predetermined level of lateral</w:t>
      </w:r>
      <w:r w:rsidR="00D94FF7" w:rsidRPr="005A73C2">
        <w:t xml:space="preserve"> </w:t>
      </w:r>
      <w:r w:rsidR="006D59E1" w:rsidRPr="006D59E1">
        <w:t>load sustained by the structure can be determined in the analysis. At the performance point, the</w:t>
      </w:r>
      <w:r w:rsidR="00CA188D">
        <w:t xml:space="preserve"> </w:t>
      </w:r>
      <w:r w:rsidR="006D59E1" w:rsidRPr="006D59E1">
        <w:t>resulting responses of the building are checked using certain acceptability criteria. The failure of</w:t>
      </w:r>
      <w:r w:rsidR="00CA188D">
        <w:t xml:space="preserve"> </w:t>
      </w:r>
      <w:r w:rsidR="006D59E1" w:rsidRPr="006D59E1">
        <w:t>corner column is critical and this affects the structure severely. The failure of corner column leads</w:t>
      </w:r>
      <w:r w:rsidR="00CA188D">
        <w:t xml:space="preserve"> </w:t>
      </w:r>
      <w:r w:rsidR="006D59E1" w:rsidRPr="006D59E1">
        <w:t>to the total collapse of the structure. To reduce the effect of this corner column collapse increase</w:t>
      </w:r>
      <w:r w:rsidR="00CA188D">
        <w:t xml:space="preserve"> </w:t>
      </w:r>
      <w:r w:rsidR="006D59E1" w:rsidRPr="006D59E1">
        <w:t>the stiffness of the nearby members according to the requirement. If the stiffness increases 27</w:t>
      </w:r>
      <w:r w:rsidR="00CA188D">
        <w:t xml:space="preserve"> </w:t>
      </w:r>
      <w:r w:rsidR="006D59E1" w:rsidRPr="006D59E1">
        <w:t>percent the load carrying capacity can be increased by 43 percent.</w:t>
      </w:r>
    </w:p>
    <w:p w:rsidR="00D94FF7" w:rsidRDefault="00D94FF7" w:rsidP="00D94FF7">
      <w:pPr>
        <w:pStyle w:val="Text"/>
        <w:ind w:firstLine="720"/>
      </w:pPr>
    </w:p>
    <w:p w:rsidR="00D94FF7" w:rsidRDefault="00D94FF7" w:rsidP="00D94FF7">
      <w:pPr>
        <w:pStyle w:val="Text"/>
        <w:ind w:firstLine="720"/>
      </w:pPr>
    </w:p>
    <w:p w:rsidR="00D94FF7" w:rsidRPr="005A73C2" w:rsidRDefault="00D94FF7" w:rsidP="00D94FF7">
      <w:pPr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</w:p>
    <w:p w:rsidR="00D94FF7" w:rsidRPr="005A73C2" w:rsidRDefault="00D94FF7" w:rsidP="00D94FF7">
      <w:pPr>
        <w:pStyle w:val="Heading1"/>
        <w:numPr>
          <w:ilvl w:val="0"/>
          <w:numId w:val="0"/>
        </w:numPr>
        <w:spacing w:before="0" w:after="0"/>
        <w:rPr>
          <w:b/>
          <w:bCs/>
          <w:sz w:val="22"/>
          <w:szCs w:val="22"/>
        </w:rPr>
      </w:pPr>
      <w:r w:rsidRPr="005A73C2">
        <w:rPr>
          <w:b/>
          <w:bCs/>
          <w:sz w:val="22"/>
          <w:szCs w:val="22"/>
        </w:rPr>
        <w:t>References</w:t>
      </w:r>
      <w:r>
        <w:rPr>
          <w:b/>
          <w:bCs/>
          <w:sz w:val="22"/>
          <w:szCs w:val="22"/>
        </w:rPr>
        <w:t xml:space="preserve"> </w:t>
      </w:r>
    </w:p>
    <w:p w:rsidR="00F47DB3" w:rsidRDefault="006B5D12" w:rsidP="00782FB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Malgun Gothic" w:hAnsi="Times New Roman" w:cs="Times New Roman"/>
          <w:sz w:val="16"/>
          <w:szCs w:val="16"/>
        </w:rPr>
      </w:pPr>
      <w:r w:rsidRPr="006B5D12">
        <w:rPr>
          <w:rFonts w:ascii="Times New Roman" w:hAnsi="Times New Roman" w:cs="Times New Roman"/>
          <w:sz w:val="16"/>
          <w:szCs w:val="16"/>
        </w:rPr>
        <w:t xml:space="preserve">[1] Abhay A. Kulkarni, Rajendra R. Joshi, </w:t>
      </w:r>
      <w:r w:rsidRPr="006B5D12">
        <w:rPr>
          <w:rFonts w:ascii="Times New Roman" w:hAnsi="Times New Roman" w:cs="Times New Roman"/>
          <w:bCs/>
          <w:sz w:val="16"/>
          <w:szCs w:val="16"/>
        </w:rPr>
        <w:t>Progressive collapse assessment of structure</w:t>
      </w:r>
      <w:r w:rsidR="0087413A">
        <w:rPr>
          <w:rFonts w:ascii="Times New Roman" w:hAnsi="Times New Roman" w:cs="Times New Roman"/>
          <w:sz w:val="16"/>
          <w:szCs w:val="16"/>
        </w:rPr>
        <w:t xml:space="preserve">, </w:t>
      </w:r>
      <w:r w:rsidRPr="006B5D12">
        <w:rPr>
          <w:rFonts w:ascii="Times New Roman" w:hAnsi="Times New Roman" w:cs="Times New Roman"/>
          <w:i/>
          <w:sz w:val="16"/>
          <w:szCs w:val="16"/>
        </w:rPr>
        <w:t>International Journal of Earth Sciences and Engineering</w:t>
      </w:r>
      <w:r w:rsidRPr="006B5D12">
        <w:rPr>
          <w:rFonts w:ascii="Times New Roman" w:eastAsia="Malgun Gothic" w:hAnsi="Times New Roman" w:cs="Times New Roman"/>
          <w:sz w:val="16"/>
          <w:szCs w:val="16"/>
        </w:rPr>
        <w:t xml:space="preserve">, </w:t>
      </w:r>
      <w:r w:rsidRPr="00F977D8">
        <w:rPr>
          <w:rFonts w:ascii="Times New Roman" w:eastAsia="Malgun Gothic" w:hAnsi="Times New Roman" w:cs="Times New Roman"/>
          <w:i/>
          <w:sz w:val="16"/>
          <w:szCs w:val="16"/>
        </w:rPr>
        <w:t>4(6),</w:t>
      </w:r>
      <w:r w:rsidR="0087413A">
        <w:rPr>
          <w:rFonts w:ascii="Times New Roman" w:eastAsia="Malgun Gothic" w:hAnsi="Times New Roman" w:cs="Times New Roman"/>
          <w:sz w:val="16"/>
          <w:szCs w:val="16"/>
        </w:rPr>
        <w:t xml:space="preserve"> 2011, </w:t>
      </w:r>
      <w:r w:rsidRPr="006B5D12">
        <w:rPr>
          <w:rFonts w:ascii="Times New Roman" w:eastAsia="Malgun Gothic" w:hAnsi="Times New Roman" w:cs="Times New Roman"/>
          <w:sz w:val="16"/>
          <w:szCs w:val="16"/>
        </w:rPr>
        <w:t>652-655</w:t>
      </w:r>
    </w:p>
    <w:p w:rsidR="00CA294E" w:rsidRDefault="00CA294E" w:rsidP="00CA29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Malgun Gothic" w:hAnsi="Times New Roman" w:cs="Times New Roman"/>
          <w:sz w:val="16"/>
          <w:szCs w:val="16"/>
        </w:rPr>
      </w:pPr>
      <w:r>
        <w:rPr>
          <w:rFonts w:ascii="Times New Roman" w:eastAsia="Malgun Gothic" w:hAnsi="Times New Roman" w:cs="Times New Roman"/>
          <w:sz w:val="16"/>
          <w:szCs w:val="16"/>
        </w:rPr>
        <w:t xml:space="preserve">[2] </w:t>
      </w:r>
      <w:r w:rsidRPr="00CA294E">
        <w:rPr>
          <w:rFonts w:ascii="Times New Roman" w:eastAsia="Malgun Gothic" w:hAnsi="Times New Roman" w:cs="Times New Roman"/>
          <w:bCs/>
          <w:iCs/>
          <w:sz w:val="16"/>
          <w:szCs w:val="16"/>
        </w:rPr>
        <w:t>Tarek H. Almusallam, H. M. Elsanadedy, H. Abbas, T. Ngo, and P. Mendis</w:t>
      </w:r>
      <w:r>
        <w:rPr>
          <w:rFonts w:ascii="Times New Roman" w:eastAsia="Malgun Gothic" w:hAnsi="Times New Roman" w:cs="Times New Roman"/>
          <w:sz w:val="16"/>
          <w:szCs w:val="16"/>
        </w:rPr>
        <w:t xml:space="preserve">, </w:t>
      </w:r>
      <w:r w:rsidRPr="00CA294E">
        <w:rPr>
          <w:rFonts w:ascii="Times New Roman" w:eastAsia="Malgun Gothic" w:hAnsi="Times New Roman" w:cs="Times New Roman"/>
          <w:bCs/>
          <w:sz w:val="16"/>
          <w:szCs w:val="16"/>
        </w:rPr>
        <w:t>Numerical analysis for progressive collapse potential of a typical framed concrete building</w:t>
      </w:r>
      <w:r>
        <w:rPr>
          <w:rFonts w:ascii="Times New Roman" w:eastAsia="Malgun Gothic" w:hAnsi="Times New Roman" w:cs="Times New Roman"/>
          <w:sz w:val="16"/>
          <w:szCs w:val="16"/>
        </w:rPr>
        <w:t xml:space="preserve">, </w:t>
      </w:r>
      <w:r w:rsidRPr="00CA294E">
        <w:rPr>
          <w:rFonts w:ascii="Times New Roman" w:eastAsia="Malgun Gothic" w:hAnsi="Times New Roman" w:cs="Times New Roman"/>
          <w:i/>
          <w:sz w:val="16"/>
          <w:szCs w:val="16"/>
        </w:rPr>
        <w:t>International Journal of Civil &amp; Environmental Engineering</w:t>
      </w:r>
      <w:r w:rsidRPr="00CA294E">
        <w:rPr>
          <w:rFonts w:ascii="Times New Roman" w:eastAsia="Malgun Gothic" w:hAnsi="Times New Roman" w:cs="Times New Roman"/>
          <w:sz w:val="16"/>
          <w:szCs w:val="16"/>
        </w:rPr>
        <w:t xml:space="preserve">, </w:t>
      </w:r>
      <w:r w:rsidRPr="00F977D8">
        <w:rPr>
          <w:rFonts w:ascii="Times New Roman" w:eastAsia="Malgun Gothic" w:hAnsi="Times New Roman" w:cs="Times New Roman"/>
          <w:i/>
          <w:sz w:val="16"/>
          <w:szCs w:val="16"/>
        </w:rPr>
        <w:t>10(2),</w:t>
      </w:r>
      <w:r>
        <w:rPr>
          <w:rFonts w:ascii="Times New Roman" w:eastAsia="Malgun Gothic" w:hAnsi="Times New Roman" w:cs="Times New Roman"/>
          <w:sz w:val="16"/>
          <w:szCs w:val="16"/>
        </w:rPr>
        <w:t xml:space="preserve"> 2010,</w:t>
      </w:r>
      <w:r w:rsidRPr="00CA294E">
        <w:rPr>
          <w:rFonts w:ascii="Times New Roman" w:eastAsia="Malgun Gothic" w:hAnsi="Times New Roman" w:cs="Times New Roman"/>
          <w:sz w:val="16"/>
          <w:szCs w:val="16"/>
        </w:rPr>
        <w:t xml:space="preserve"> 40-46.</w:t>
      </w:r>
    </w:p>
    <w:p w:rsidR="00BE0C52" w:rsidRPr="00BE0C52" w:rsidRDefault="00BE0C52" w:rsidP="00BE0C52">
      <w:pPr>
        <w:adjustRightInd w:val="0"/>
        <w:rPr>
          <w:rFonts w:ascii="Times New Roman" w:hAnsi="Times New Roman" w:cs="Times New Roman"/>
          <w:sz w:val="16"/>
          <w:szCs w:val="16"/>
        </w:rPr>
      </w:pPr>
      <w:r w:rsidRPr="00BE0C52">
        <w:rPr>
          <w:rFonts w:ascii="Times New Roman" w:eastAsia="Malgun Gothic" w:hAnsi="Times New Roman" w:cs="Times New Roman"/>
          <w:sz w:val="16"/>
          <w:szCs w:val="16"/>
        </w:rPr>
        <w:t xml:space="preserve">[3] </w:t>
      </w:r>
      <w:r w:rsidRPr="00BE0C52">
        <w:rPr>
          <w:rFonts w:ascii="Times New Roman" w:hAnsi="Times New Roman" w:cs="Times New Roman"/>
          <w:sz w:val="16"/>
          <w:szCs w:val="16"/>
        </w:rPr>
        <w:t>A. Kadid</w:t>
      </w:r>
      <w:r w:rsidRPr="00BE0C52">
        <w:rPr>
          <w:rFonts w:ascii="Times New Roman" w:eastAsia="SymbolMT" w:hAnsi="Times New Roman" w:cs="Times New Roman"/>
          <w:sz w:val="16"/>
          <w:szCs w:val="16"/>
        </w:rPr>
        <w:t xml:space="preserve">, </w:t>
      </w:r>
      <w:r w:rsidRPr="00BE0C52">
        <w:rPr>
          <w:rFonts w:ascii="Times New Roman" w:hAnsi="Times New Roman" w:cs="Times New Roman"/>
          <w:sz w:val="16"/>
          <w:szCs w:val="16"/>
        </w:rPr>
        <w:t xml:space="preserve">Boumrkik A, </w:t>
      </w:r>
      <w:r w:rsidRPr="00BE0C52">
        <w:rPr>
          <w:rFonts w:ascii="Times New Roman" w:hAnsi="Times New Roman" w:cs="Times New Roman"/>
          <w:bCs/>
          <w:sz w:val="16"/>
          <w:szCs w:val="16"/>
        </w:rPr>
        <w:t xml:space="preserve">Pushover analysis of reinforced concrete frame structures, </w:t>
      </w:r>
      <w:r w:rsidRPr="00BE0C52">
        <w:rPr>
          <w:rFonts w:ascii="Times New Roman" w:hAnsi="Times New Roman" w:cs="Times New Roman"/>
          <w:i/>
          <w:sz w:val="16"/>
          <w:szCs w:val="16"/>
        </w:rPr>
        <w:t>Asian journal of civil engineering,</w:t>
      </w:r>
      <w:r w:rsidRPr="00F977D8">
        <w:rPr>
          <w:rFonts w:ascii="Times New Roman" w:hAnsi="Times New Roman" w:cs="Times New Roman"/>
          <w:i/>
          <w:sz w:val="16"/>
          <w:szCs w:val="16"/>
        </w:rPr>
        <w:t>9(1),</w:t>
      </w:r>
      <w:r w:rsidRPr="00BE0C52">
        <w:rPr>
          <w:rFonts w:ascii="Times New Roman" w:hAnsi="Times New Roman" w:cs="Times New Roman"/>
          <w:sz w:val="16"/>
          <w:szCs w:val="16"/>
        </w:rPr>
        <w:t>2008, 75-83.</w:t>
      </w:r>
    </w:p>
    <w:p w:rsidR="00CF797C" w:rsidRPr="00CF797C" w:rsidRDefault="00CF797C" w:rsidP="00CF797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Malgun Gothic" w:hAnsi="Times New Roman" w:cs="Times New Roman"/>
          <w:bCs/>
          <w:sz w:val="16"/>
          <w:szCs w:val="16"/>
        </w:rPr>
      </w:pPr>
      <w:r>
        <w:rPr>
          <w:rFonts w:ascii="Times New Roman" w:eastAsia="Malgun Gothic" w:hAnsi="Times New Roman" w:cs="Times New Roman"/>
          <w:bCs/>
          <w:sz w:val="16"/>
          <w:szCs w:val="16"/>
        </w:rPr>
        <w:t xml:space="preserve">[4] </w:t>
      </w:r>
      <w:r w:rsidRPr="00CF797C">
        <w:rPr>
          <w:rFonts w:ascii="Times New Roman" w:eastAsia="Malgun Gothic" w:hAnsi="Times New Roman" w:cs="Times New Roman"/>
          <w:bCs/>
          <w:sz w:val="16"/>
          <w:szCs w:val="16"/>
        </w:rPr>
        <w:t>Mwafy A. M, Elnashai A S</w:t>
      </w:r>
      <w:r>
        <w:rPr>
          <w:rFonts w:ascii="Times New Roman" w:eastAsia="Malgun Gothic" w:hAnsi="Times New Roman" w:cs="Times New Roman"/>
          <w:bCs/>
          <w:sz w:val="16"/>
          <w:szCs w:val="16"/>
        </w:rPr>
        <w:t>,</w:t>
      </w:r>
      <w:r w:rsidRPr="00CF797C">
        <w:rPr>
          <w:rFonts w:ascii="Times New Roman" w:eastAsia="Malgun Gothic" w:hAnsi="Times New Roman" w:cs="Times New Roman"/>
          <w:bCs/>
          <w:sz w:val="16"/>
          <w:szCs w:val="16"/>
        </w:rPr>
        <w:t>Static pushover versus dynamic collapse analysis of RC buildings</w:t>
      </w:r>
      <w:r>
        <w:rPr>
          <w:rFonts w:ascii="Times New Roman" w:eastAsia="Malgun Gothic" w:hAnsi="Times New Roman" w:cs="Times New Roman"/>
          <w:bCs/>
          <w:sz w:val="16"/>
          <w:szCs w:val="16"/>
        </w:rPr>
        <w:t>,</w:t>
      </w:r>
      <w:r w:rsidRPr="00CF797C">
        <w:rPr>
          <w:rFonts w:ascii="Times New Roman" w:eastAsia="Malgun Gothic" w:hAnsi="Times New Roman" w:cs="Times New Roman"/>
          <w:bCs/>
          <w:i/>
          <w:sz w:val="16"/>
          <w:szCs w:val="16"/>
        </w:rPr>
        <w:t>Engineering Structures, 23</w:t>
      </w:r>
      <w:r w:rsidRPr="00CF797C">
        <w:rPr>
          <w:rFonts w:ascii="Times New Roman" w:eastAsia="Malgun Gothic" w:hAnsi="Times New Roman" w:cs="Times New Roman"/>
          <w:b/>
          <w:bCs/>
          <w:sz w:val="16"/>
          <w:szCs w:val="16"/>
        </w:rPr>
        <w:t>,</w:t>
      </w:r>
      <w:r>
        <w:rPr>
          <w:rFonts w:ascii="Times New Roman" w:eastAsia="Malgun Gothic" w:hAnsi="Times New Roman" w:cs="Times New Roman"/>
          <w:b/>
          <w:bCs/>
          <w:sz w:val="16"/>
          <w:szCs w:val="16"/>
        </w:rPr>
        <w:t xml:space="preserve"> </w:t>
      </w:r>
      <w:r w:rsidRPr="00CF797C">
        <w:rPr>
          <w:rFonts w:ascii="Times New Roman" w:eastAsia="Malgun Gothic" w:hAnsi="Times New Roman" w:cs="Times New Roman"/>
          <w:bCs/>
          <w:sz w:val="16"/>
          <w:szCs w:val="16"/>
        </w:rPr>
        <w:t>2001</w:t>
      </w:r>
      <w:r w:rsidRPr="00CF797C">
        <w:rPr>
          <w:rFonts w:ascii="Times New Roman" w:eastAsia="Malgun Gothic" w:hAnsi="Times New Roman" w:cs="Times New Roman"/>
          <w:b/>
          <w:bCs/>
          <w:sz w:val="16"/>
          <w:szCs w:val="16"/>
        </w:rPr>
        <w:t xml:space="preserve"> </w:t>
      </w:r>
      <w:r w:rsidRPr="00CF797C">
        <w:rPr>
          <w:rFonts w:ascii="Times New Roman" w:eastAsia="Malgun Gothic" w:hAnsi="Times New Roman" w:cs="Times New Roman"/>
          <w:bCs/>
          <w:sz w:val="16"/>
          <w:szCs w:val="16"/>
        </w:rPr>
        <w:t>407-424.</w:t>
      </w:r>
    </w:p>
    <w:p w:rsidR="004811FF" w:rsidRPr="004811FF" w:rsidRDefault="004811FF" w:rsidP="004811F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Malgun Gothic" w:hAnsi="Times New Roman" w:cs="Times New Roman"/>
          <w:bCs/>
          <w:i/>
          <w:iCs/>
          <w:sz w:val="16"/>
          <w:szCs w:val="16"/>
        </w:rPr>
      </w:pPr>
      <w:r>
        <w:rPr>
          <w:rFonts w:ascii="Times New Roman" w:eastAsia="Malgun Gothic" w:hAnsi="Times New Roman" w:cs="Times New Roman"/>
          <w:bCs/>
          <w:sz w:val="16"/>
          <w:szCs w:val="16"/>
        </w:rPr>
        <w:t xml:space="preserve">[5] </w:t>
      </w:r>
      <w:r w:rsidRPr="004811FF">
        <w:rPr>
          <w:rFonts w:ascii="Times New Roman" w:eastAsia="Malgun Gothic" w:hAnsi="Times New Roman" w:cs="Times New Roman"/>
          <w:bCs/>
          <w:sz w:val="16"/>
          <w:szCs w:val="16"/>
        </w:rPr>
        <w:t xml:space="preserve">IS 456:2000 (2005). </w:t>
      </w:r>
      <w:r w:rsidRPr="004811FF">
        <w:rPr>
          <w:rFonts w:ascii="Times New Roman" w:eastAsia="Malgun Gothic" w:hAnsi="Times New Roman" w:cs="Times New Roman"/>
          <w:bCs/>
          <w:i/>
          <w:iCs/>
          <w:sz w:val="16"/>
          <w:szCs w:val="16"/>
        </w:rPr>
        <w:t xml:space="preserve">Plain and reinforced concrete code of practice, </w:t>
      </w:r>
      <w:r w:rsidRPr="004811FF">
        <w:rPr>
          <w:rFonts w:ascii="Times New Roman" w:eastAsia="Malgun Gothic" w:hAnsi="Times New Roman" w:cs="Times New Roman"/>
          <w:bCs/>
          <w:sz w:val="16"/>
          <w:szCs w:val="16"/>
        </w:rPr>
        <w:t>Bureau</w:t>
      </w:r>
      <w:r w:rsidRPr="004811FF">
        <w:rPr>
          <w:rFonts w:ascii="Times New Roman" w:eastAsia="Malgun Gothic" w:hAnsi="Times New Roman" w:cs="Times New Roman"/>
          <w:bCs/>
          <w:i/>
          <w:iCs/>
          <w:sz w:val="16"/>
          <w:szCs w:val="16"/>
        </w:rPr>
        <w:t xml:space="preserve"> </w:t>
      </w:r>
      <w:r w:rsidRPr="004811FF">
        <w:rPr>
          <w:rFonts w:ascii="Times New Roman" w:eastAsia="Malgun Gothic" w:hAnsi="Times New Roman" w:cs="Times New Roman"/>
          <w:bCs/>
          <w:sz w:val="16"/>
          <w:szCs w:val="16"/>
        </w:rPr>
        <w:t>of Indian Standards, New Delhi</w:t>
      </w:r>
    </w:p>
    <w:p w:rsidR="00BE0C52" w:rsidRPr="00BE0C52" w:rsidRDefault="004811FF" w:rsidP="00CA29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Malgun Gothic" w:hAnsi="Times New Roman" w:cs="Times New Roman"/>
          <w:bCs/>
          <w:sz w:val="16"/>
          <w:szCs w:val="16"/>
        </w:rPr>
      </w:pPr>
      <w:r>
        <w:rPr>
          <w:rFonts w:ascii="Times New Roman" w:eastAsia="Malgun Gothic" w:hAnsi="Times New Roman" w:cs="Times New Roman"/>
          <w:bCs/>
          <w:sz w:val="16"/>
          <w:szCs w:val="16"/>
        </w:rPr>
        <w:t xml:space="preserve">[6] </w:t>
      </w:r>
      <w:r w:rsidRPr="004811FF">
        <w:rPr>
          <w:rFonts w:ascii="Times New Roman" w:eastAsia="Malgun Gothic" w:hAnsi="Times New Roman" w:cs="Times New Roman"/>
          <w:bCs/>
          <w:sz w:val="16"/>
          <w:szCs w:val="16"/>
        </w:rPr>
        <w:t xml:space="preserve">IS 1893 Part 1(2006). </w:t>
      </w:r>
      <w:r w:rsidRPr="004811FF">
        <w:rPr>
          <w:rFonts w:ascii="Times New Roman" w:eastAsia="Malgun Gothic" w:hAnsi="Times New Roman" w:cs="Times New Roman"/>
          <w:bCs/>
          <w:i/>
          <w:iCs/>
          <w:sz w:val="16"/>
          <w:szCs w:val="16"/>
        </w:rPr>
        <w:t xml:space="preserve">Criteria for earthquake resistant design of structures, </w:t>
      </w:r>
      <w:r w:rsidRPr="004811FF">
        <w:rPr>
          <w:rFonts w:ascii="Times New Roman" w:eastAsia="Malgun Gothic" w:hAnsi="Times New Roman" w:cs="Times New Roman"/>
          <w:bCs/>
          <w:sz w:val="16"/>
          <w:szCs w:val="16"/>
        </w:rPr>
        <w:t>Bureau of Indian Standards</w:t>
      </w:r>
      <w:r>
        <w:rPr>
          <w:rFonts w:ascii="Times New Roman" w:eastAsia="Malgun Gothic" w:hAnsi="Times New Roman" w:cs="Times New Roman"/>
          <w:bCs/>
          <w:sz w:val="16"/>
          <w:szCs w:val="16"/>
        </w:rPr>
        <w:t>, New Delhi</w:t>
      </w:r>
    </w:p>
    <w:p w:rsidR="00CA294E" w:rsidRPr="00D94FF7" w:rsidRDefault="00CA294E" w:rsidP="00782F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CA294E" w:rsidRPr="00D94FF7" w:rsidSect="00C7209F">
      <w:headerReference w:type="even" r:id="rId19"/>
      <w:headerReference w:type="default" r:id="rId20"/>
      <w:footerReference w:type="default" r:id="rId21"/>
      <w:headerReference w:type="first" r:id="rId22"/>
      <w:footerReference w:type="first" r:id="rId23"/>
      <w:pgSz w:w="11907" w:h="16840" w:code="9"/>
      <w:pgMar w:top="1440" w:right="1440" w:bottom="1440" w:left="1440" w:header="1138" w:footer="113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FED" w:rsidRDefault="005C2FED" w:rsidP="00D94FF7">
      <w:pPr>
        <w:spacing w:after="0" w:line="240" w:lineRule="auto"/>
      </w:pPr>
      <w:r>
        <w:separator/>
      </w:r>
    </w:p>
  </w:endnote>
  <w:endnote w:type="continuationSeparator" w:id="1">
    <w:p w:rsidR="005C2FED" w:rsidRDefault="005C2FED" w:rsidP="00D94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Arial Unicode MS"/>
    <w:panose1 w:val="020B0503020000020004"/>
    <w:charset w:val="81"/>
    <w:family w:val="swiss"/>
    <w:pitch w:val="variable"/>
    <w:sig w:usb0="00000000" w:usb1="09D77CFB" w:usb2="00000012" w:usb3="00000000" w:csb0="00080001" w:csb1="00000000"/>
  </w:font>
  <w:font w:name="SymbolMT">
    <w:altName w:val="MS Mincho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625" w:rsidRDefault="00E33D4B" w:rsidP="001D7625">
    <w:pPr>
      <w:pStyle w:val="Footer"/>
      <w:tabs>
        <w:tab w:val="clear" w:pos="4680"/>
        <w:tab w:val="clear" w:pos="9360"/>
      </w:tabs>
    </w:pPr>
    <w:r w:rsidRPr="00E33D4B">
      <w:rPr>
        <w:rFonts w:asciiTheme="majorHAnsi" w:eastAsiaTheme="majorEastAsia" w:hAnsiTheme="majorHAnsi" w:cstheme="majorBidi"/>
        <w:b/>
        <w:bCs/>
        <w:noProof/>
        <w:lang w:eastAsia="zh-TW"/>
      </w:rPr>
      <w:pict>
        <v:group id="_x0000_s2059" style="position:absolute;margin-left:0;margin-top:0;width:463.55pt;height:24.25pt;z-index:251662336;mso-position-horizontal:center;mso-position-horizontal-relative:page;mso-position-vertical:top;mso-position-vertical-relative:line" coordorigin="321,14850" coordsize="11601,547">
          <v:rect id="_x0000_s2060" style="position:absolute;left:374;top:14903;width:9346;height:432;mso-position-horizontal-relative:page;mso-position-vertical:center;mso-position-vertical-relative:bottom-margin-area" o:allowincell="f" fillcolor="#0070c0" strokecolor="#0070c0">
            <v:fill color2="#943634 [2405]"/>
            <v:textbox style="mso-next-textbox:#_x0000_s2060">
              <w:txbxContent>
                <w:sdt>
                  <w:sdtPr>
                    <w:rPr>
                      <w:rFonts w:ascii="Times New Roman" w:hAnsi="Times New Roman"/>
                      <w:color w:val="FFFFFF" w:themeColor="background1"/>
                      <w:spacing w:val="60"/>
                    </w:rPr>
                    <w:alias w:val="Address"/>
                    <w:id w:val="30223794"/>
                    <w:placeholder>
                      <w:docPart w:val="99BCD11AA0B04BEF8760627DCEA5BDF8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1D7625" w:rsidRDefault="00FA6D89" w:rsidP="001D7625">
                      <w:pPr>
                        <w:pStyle w:val="Footer"/>
                        <w:spacing w:after="0" w:line="240" w:lineRule="auto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hAnsi="Times New Roman"/>
                          <w:color w:val="FFFFFF" w:themeColor="background1"/>
                          <w:spacing w:val="60"/>
                        </w:rPr>
                        <w:t>www.ajer.org</w:t>
                      </w:r>
                    </w:p>
                  </w:sdtContent>
                </w:sdt>
                <w:p w:rsidR="001D7625" w:rsidRDefault="001D7625">
                  <w:pPr>
                    <w:pStyle w:val="Header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61" style="position:absolute;left:9763;top:14903;width:2102;height:432;mso-position-horizontal-relative:page;mso-position-vertical:center;mso-position-vertical-relative:bottom-margin-area" o:allowincell="f" fillcolor="#ffc000" stroked="f">
            <v:fill color2="#943634 [2405]"/>
            <v:textbox style="mso-next-textbox:#_x0000_s2061">
              <w:txbxContent>
                <w:p w:rsidR="001D7625" w:rsidRPr="001D7625" w:rsidRDefault="001D7625" w:rsidP="00FA6D89">
                  <w:pPr>
                    <w:pStyle w:val="Footer"/>
                    <w:jc w:val="right"/>
                  </w:pPr>
                  <w:r w:rsidRPr="001D7625">
                    <w:t xml:space="preserve">Page </w:t>
                  </w:r>
                  <w:fldSimple w:instr=" PAGE   \* MERGEFORMAT ">
                    <w:r w:rsidR="00092A89">
                      <w:rPr>
                        <w:noProof/>
                      </w:rPr>
                      <w:t>6</w:t>
                    </w:r>
                  </w:fldSimple>
                </w:p>
              </w:txbxContent>
            </v:textbox>
          </v:rect>
          <v:rect id="_x0000_s206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  <w:p w:rsidR="007749AA" w:rsidRDefault="007749A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9AA" w:rsidRDefault="00E33D4B" w:rsidP="001D7625">
    <w:pPr>
      <w:pStyle w:val="Footer"/>
      <w:tabs>
        <w:tab w:val="clear" w:pos="4680"/>
        <w:tab w:val="clear" w:pos="9360"/>
      </w:tabs>
    </w:pPr>
    <w:r w:rsidRPr="00E33D4B">
      <w:rPr>
        <w:rFonts w:asciiTheme="majorHAnsi" w:eastAsiaTheme="majorEastAsia" w:hAnsiTheme="majorHAnsi" w:cstheme="majorBidi"/>
        <w:b/>
        <w:bCs/>
        <w:noProof/>
        <w:lang w:eastAsia="zh-TW"/>
      </w:rPr>
      <w:pict>
        <v:group id="_x0000_s2049" style="position:absolute;margin-left:0;margin-top:0;width:460.5pt;height:24.2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0070c0" strokecolor="white [3212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hAnsi="Times New Roman"/>
                      <w:color w:val="FFFFFF" w:themeColor="background1"/>
                      <w:spacing w:val="60"/>
                    </w:rPr>
                    <w:alias w:val="Address"/>
                    <w:id w:val="30223799"/>
                    <w:placeholder>
                      <w:docPart w:val="C328CE30A5E84F94927B1F02D508F83F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7749AA" w:rsidRPr="001D7625" w:rsidRDefault="007749AA" w:rsidP="001D7625">
                      <w:pPr>
                        <w:pStyle w:val="Footer"/>
                        <w:spacing w:after="0" w:line="240" w:lineRule="auto"/>
                        <w:rPr>
                          <w:rFonts w:ascii="Times New Roman" w:hAnsi="Times New Roman"/>
                          <w:color w:val="FFFFFF" w:themeColor="background1"/>
                          <w:spacing w:val="60"/>
                        </w:rPr>
                      </w:pPr>
                      <w:r w:rsidRPr="001D7625">
                        <w:rPr>
                          <w:rFonts w:ascii="Times New Roman" w:hAnsi="Times New Roman"/>
                          <w:color w:val="FFFFFF" w:themeColor="background1"/>
                          <w:spacing w:val="60"/>
                        </w:rPr>
                        <w:t>www.ajer.</w:t>
                      </w:r>
                      <w:r w:rsidR="00FA6D89">
                        <w:rPr>
                          <w:rFonts w:ascii="Times New Roman" w:hAnsi="Times New Roman"/>
                          <w:color w:val="FFFFFF" w:themeColor="background1"/>
                          <w:spacing w:val="60"/>
                        </w:rPr>
                        <w:t>org</w:t>
                      </w:r>
                    </w:p>
                  </w:sdtContent>
                </w:sdt>
                <w:p w:rsidR="007749AA" w:rsidRDefault="007749AA">
                  <w:pPr>
                    <w:pStyle w:val="Header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" o:allowincell="f" fillcolor="#e9c938" strokecolor="#e9c938">
            <v:fill color2="#943634 [2405]"/>
            <v:textbox style="mso-next-textbox:#_x0000_s2051">
              <w:txbxContent>
                <w:p w:rsidR="007749AA" w:rsidRPr="00C06361" w:rsidRDefault="007749AA" w:rsidP="00FA6D89">
                  <w:pPr>
                    <w:pStyle w:val="Footer"/>
                    <w:shd w:val="clear" w:color="auto" w:fill="E9C938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C06361">
                    <w:rPr>
                      <w:rFonts w:ascii="Times New Roman" w:hAnsi="Times New Roman"/>
                    </w:rPr>
                    <w:t xml:space="preserve">Page </w:t>
                  </w:r>
                  <w:r w:rsidR="00E33D4B" w:rsidRPr="00C06361">
                    <w:rPr>
                      <w:rFonts w:ascii="Times New Roman" w:hAnsi="Times New Roman"/>
                    </w:rPr>
                    <w:fldChar w:fldCharType="begin"/>
                  </w:r>
                  <w:r w:rsidR="00895E77" w:rsidRPr="00C06361">
                    <w:rPr>
                      <w:rFonts w:ascii="Times New Roman" w:hAnsi="Times New Roman"/>
                    </w:rPr>
                    <w:instrText xml:space="preserve"> PAGE   \* MERGEFORMAT </w:instrText>
                  </w:r>
                  <w:r w:rsidR="00E33D4B" w:rsidRPr="00C06361">
                    <w:rPr>
                      <w:rFonts w:ascii="Times New Roman" w:hAnsi="Times New Roman"/>
                    </w:rPr>
                    <w:fldChar w:fldCharType="separate"/>
                  </w:r>
                  <w:r w:rsidR="00092A89">
                    <w:rPr>
                      <w:rFonts w:ascii="Times New Roman" w:hAnsi="Times New Roman"/>
                      <w:noProof/>
                    </w:rPr>
                    <w:t>1</w:t>
                  </w:r>
                  <w:r w:rsidR="00E33D4B" w:rsidRPr="00C06361">
                    <w:rPr>
                      <w:rFonts w:ascii="Times New Roman" w:hAnsi="Times New Roman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FED" w:rsidRDefault="005C2FED" w:rsidP="00D94FF7">
      <w:pPr>
        <w:spacing w:after="0" w:line="240" w:lineRule="auto"/>
      </w:pPr>
      <w:r>
        <w:separator/>
      </w:r>
    </w:p>
  </w:footnote>
  <w:footnote w:type="continuationSeparator" w:id="1">
    <w:p w:rsidR="005C2FED" w:rsidRDefault="005C2FED" w:rsidP="00D94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AB8" w:rsidRDefault="007D5A86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938"/>
      <w:gridCol w:w="1170"/>
    </w:tblGrid>
    <w:tr w:rsidR="007749AA" w:rsidTr="00FA6D89">
      <w:trPr>
        <w:trHeight w:val="273"/>
      </w:trPr>
      <w:tc>
        <w:tcPr>
          <w:tcW w:w="7938" w:type="dxa"/>
          <w:shd w:val="clear" w:color="auto" w:fill="0070C0"/>
        </w:tcPr>
        <w:p w:rsidR="007749AA" w:rsidRPr="006135FD" w:rsidRDefault="007749AA" w:rsidP="006135FD">
          <w:pPr>
            <w:pStyle w:val="Header"/>
            <w:rPr>
              <w:rFonts w:ascii="Times New Roman" w:hAnsi="Times New Roman"/>
              <w:b/>
              <w:i/>
              <w:color w:val="FFFFFF" w:themeColor="background1"/>
              <w:sz w:val="28"/>
              <w:szCs w:val="28"/>
            </w:rPr>
          </w:pPr>
          <w:r w:rsidRPr="006135FD">
            <w:rPr>
              <w:rFonts w:ascii="Times New Roman" w:hAnsi="Times New Roman"/>
              <w:b/>
              <w:i/>
              <w:color w:val="FFFFFF" w:themeColor="background1"/>
              <w:sz w:val="28"/>
              <w:szCs w:val="28"/>
            </w:rPr>
            <w:t>American Journal of Engineering Research (AJER)</w:t>
          </w:r>
        </w:p>
      </w:tc>
      <w:tc>
        <w:tcPr>
          <w:tcW w:w="1170" w:type="dxa"/>
          <w:shd w:val="clear" w:color="auto" w:fill="FFC000"/>
        </w:tcPr>
        <w:p w:rsidR="007749AA" w:rsidRPr="006135FD" w:rsidRDefault="007749AA" w:rsidP="00FA6D89">
          <w:pPr>
            <w:pStyle w:val="Header"/>
            <w:jc w:val="right"/>
            <w:rPr>
              <w:rFonts w:ascii="Times New Roman" w:hAnsi="Times New Roman"/>
              <w:b/>
              <w:i/>
              <w:sz w:val="28"/>
              <w:szCs w:val="28"/>
            </w:rPr>
          </w:pPr>
          <w:r w:rsidRPr="006135FD">
            <w:rPr>
              <w:rFonts w:ascii="Times New Roman" w:hAnsi="Times New Roman"/>
              <w:b/>
              <w:i/>
              <w:sz w:val="28"/>
              <w:szCs w:val="28"/>
            </w:rPr>
            <w:t>201</w:t>
          </w:r>
          <w:r w:rsidR="00FA6D89">
            <w:rPr>
              <w:rFonts w:ascii="Times New Roman" w:hAnsi="Times New Roman"/>
              <w:b/>
              <w:i/>
              <w:sz w:val="28"/>
              <w:szCs w:val="28"/>
            </w:rPr>
            <w:t>3</w:t>
          </w:r>
        </w:p>
      </w:tc>
    </w:tr>
  </w:tbl>
  <w:p w:rsidR="0078646D" w:rsidRPr="007749AA" w:rsidRDefault="005C2FED" w:rsidP="007749AA">
    <w:pPr>
      <w:pStyle w:val="Header"/>
      <w:spacing w:after="0" w:line="240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488"/>
      <w:gridCol w:w="1620"/>
    </w:tblGrid>
    <w:tr w:rsidR="006135FD" w:rsidTr="00FA6D89">
      <w:trPr>
        <w:trHeight w:val="273"/>
      </w:trPr>
      <w:tc>
        <w:tcPr>
          <w:tcW w:w="7488" w:type="dxa"/>
          <w:shd w:val="clear" w:color="auto" w:fill="0070C0"/>
        </w:tcPr>
        <w:p w:rsidR="006135FD" w:rsidRPr="006135FD" w:rsidRDefault="006135FD" w:rsidP="006135FD">
          <w:pPr>
            <w:pStyle w:val="Header"/>
            <w:rPr>
              <w:rFonts w:ascii="Times New Roman" w:hAnsi="Times New Roman"/>
              <w:b/>
              <w:i/>
              <w:color w:val="FFFFFF" w:themeColor="background1"/>
              <w:sz w:val="28"/>
              <w:szCs w:val="28"/>
            </w:rPr>
          </w:pPr>
          <w:r w:rsidRPr="006135FD">
            <w:rPr>
              <w:rFonts w:ascii="Times New Roman" w:hAnsi="Times New Roman"/>
              <w:b/>
              <w:i/>
              <w:color w:val="FFFFFF" w:themeColor="background1"/>
              <w:sz w:val="28"/>
              <w:szCs w:val="28"/>
            </w:rPr>
            <w:t>American Journal of Engineering Research (AJER)</w:t>
          </w:r>
        </w:p>
      </w:tc>
      <w:tc>
        <w:tcPr>
          <w:tcW w:w="1620" w:type="dxa"/>
          <w:shd w:val="clear" w:color="auto" w:fill="E9C938"/>
        </w:tcPr>
        <w:p w:rsidR="006135FD" w:rsidRPr="006135FD" w:rsidRDefault="006135FD" w:rsidP="00FA6D89">
          <w:pPr>
            <w:pStyle w:val="Header"/>
            <w:jc w:val="right"/>
            <w:rPr>
              <w:rFonts w:ascii="Times New Roman" w:hAnsi="Times New Roman"/>
              <w:b/>
              <w:i/>
              <w:sz w:val="28"/>
              <w:szCs w:val="28"/>
            </w:rPr>
          </w:pPr>
          <w:r w:rsidRPr="006135FD">
            <w:rPr>
              <w:rFonts w:ascii="Times New Roman" w:hAnsi="Times New Roman"/>
              <w:b/>
              <w:i/>
              <w:sz w:val="28"/>
              <w:szCs w:val="28"/>
            </w:rPr>
            <w:t>201</w:t>
          </w:r>
          <w:r w:rsidR="00FA6D89">
            <w:rPr>
              <w:rFonts w:ascii="Times New Roman" w:hAnsi="Times New Roman"/>
              <w:b/>
              <w:i/>
              <w:sz w:val="28"/>
              <w:szCs w:val="28"/>
            </w:rPr>
            <w:t>3</w:t>
          </w:r>
        </w:p>
      </w:tc>
    </w:tr>
  </w:tbl>
  <w:p w:rsidR="008E770E" w:rsidRPr="008E770E" w:rsidRDefault="005C2FED" w:rsidP="006135FD">
    <w:pPr>
      <w:pStyle w:val="Header"/>
      <w:spacing w:after="0" w:line="240" w:lineRule="auto"/>
      <w:rPr>
        <w:rFonts w:ascii="Times New Roman" w:hAnsi="Times New Roman"/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2E085744"/>
    <w:lvl w:ilvl="0">
      <w:start w:val="1"/>
      <w:numFmt w:val="upperRoman"/>
      <w:pStyle w:val="Heading1"/>
      <w:lvlText w:val="%1."/>
      <w:legacy w:legacy="1" w:legacySpace="144" w:legacyIndent="144"/>
      <w:lvlJc w:val="left"/>
    </w:lvl>
    <w:lvl w:ilvl="1">
      <w:start w:val="1"/>
      <w:numFmt w:val="upperLetter"/>
      <w:pStyle w:val="Heading2"/>
      <w:lvlText w:val="%2."/>
      <w:legacy w:legacy="1" w:legacySpace="144" w:legacyIndent="144"/>
      <w:lvlJc w:val="left"/>
    </w:lvl>
    <w:lvl w:ilvl="2">
      <w:start w:val="1"/>
      <w:numFmt w:val="decimal"/>
      <w:pStyle w:val="Heading3"/>
      <w:lvlText w:val="%3)"/>
      <w:legacy w:legacy="1" w:legacySpace="144" w:legacyIndent="144"/>
      <w:lvlJc w:val="left"/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1332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052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2772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3492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4212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4932" w:hanging="720"/>
      </w:pPr>
    </w:lvl>
  </w:abstractNum>
  <w:abstractNum w:abstractNumId="1">
    <w:nsid w:val="28062011"/>
    <w:multiLevelType w:val="hybridMultilevel"/>
    <w:tmpl w:val="8BDA9F06"/>
    <w:lvl w:ilvl="0" w:tplc="FD3ED602">
      <w:start w:val="1"/>
      <w:numFmt w:val="lowerLetter"/>
      <w:lvlText w:val="%1)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2">
    <w:nsid w:val="318C0127"/>
    <w:multiLevelType w:val="hybridMultilevel"/>
    <w:tmpl w:val="B632252C"/>
    <w:lvl w:ilvl="0" w:tplc="9616603C">
      <w:start w:val="1"/>
      <w:numFmt w:val="decimal"/>
      <w:lvlText w:val="[%1]"/>
      <w:lvlJc w:val="left"/>
      <w:pPr>
        <w:tabs>
          <w:tab w:val="num" w:pos="207"/>
        </w:tabs>
        <w:ind w:left="491" w:hanging="49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4A5F98"/>
    <w:multiLevelType w:val="hybridMultilevel"/>
    <w:tmpl w:val="FE3E3EA4"/>
    <w:lvl w:ilvl="0" w:tplc="1812DB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A33E36"/>
    <w:multiLevelType w:val="hybridMultilevel"/>
    <w:tmpl w:val="888499AE"/>
    <w:lvl w:ilvl="0" w:tplc="02B06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E7399B"/>
    <w:multiLevelType w:val="hybridMultilevel"/>
    <w:tmpl w:val="2C645F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2E3382"/>
    <w:multiLevelType w:val="hybridMultilevel"/>
    <w:tmpl w:val="335EFF02"/>
    <w:lvl w:ilvl="0" w:tplc="A6DCDC84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7">
    <w:nsid w:val="7DBA2DA7"/>
    <w:multiLevelType w:val="hybridMultilevel"/>
    <w:tmpl w:val="F6D85466"/>
    <w:lvl w:ilvl="0" w:tplc="A4A27C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hdrShapeDefaults>
    <o:shapedefaults v:ext="edit" spidmax="17410">
      <o:colormenu v:ext="edit" fillcolor="#e9c938" strokecolor="#e9c938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94FF7"/>
    <w:rsid w:val="00010A49"/>
    <w:rsid w:val="00092A89"/>
    <w:rsid w:val="001318E8"/>
    <w:rsid w:val="001329A1"/>
    <w:rsid w:val="00143688"/>
    <w:rsid w:val="001B7EBE"/>
    <w:rsid w:val="001D7625"/>
    <w:rsid w:val="002A32AB"/>
    <w:rsid w:val="00305E64"/>
    <w:rsid w:val="003E1AB8"/>
    <w:rsid w:val="00453BEE"/>
    <w:rsid w:val="004774EE"/>
    <w:rsid w:val="004811FF"/>
    <w:rsid w:val="00485465"/>
    <w:rsid w:val="004A2EC4"/>
    <w:rsid w:val="004E0144"/>
    <w:rsid w:val="004E3CD0"/>
    <w:rsid w:val="00516E12"/>
    <w:rsid w:val="005639B4"/>
    <w:rsid w:val="0057742A"/>
    <w:rsid w:val="00597AB1"/>
    <w:rsid w:val="005C2FED"/>
    <w:rsid w:val="005D6704"/>
    <w:rsid w:val="006135FD"/>
    <w:rsid w:val="006359BF"/>
    <w:rsid w:val="0065476B"/>
    <w:rsid w:val="0069315E"/>
    <w:rsid w:val="006B390C"/>
    <w:rsid w:val="006B5D12"/>
    <w:rsid w:val="006D41C2"/>
    <w:rsid w:val="006D59E1"/>
    <w:rsid w:val="006F75D7"/>
    <w:rsid w:val="007749AA"/>
    <w:rsid w:val="00782FB1"/>
    <w:rsid w:val="007952D8"/>
    <w:rsid w:val="007A7DD4"/>
    <w:rsid w:val="007C238F"/>
    <w:rsid w:val="007C6CCA"/>
    <w:rsid w:val="007D2E34"/>
    <w:rsid w:val="007D5A86"/>
    <w:rsid w:val="007E11CA"/>
    <w:rsid w:val="00833B35"/>
    <w:rsid w:val="008541B0"/>
    <w:rsid w:val="00856C27"/>
    <w:rsid w:val="0087413A"/>
    <w:rsid w:val="00890DCF"/>
    <w:rsid w:val="00895E77"/>
    <w:rsid w:val="008D351C"/>
    <w:rsid w:val="00A05533"/>
    <w:rsid w:val="00A85124"/>
    <w:rsid w:val="00AF7C4A"/>
    <w:rsid w:val="00B01FC4"/>
    <w:rsid w:val="00B10BC6"/>
    <w:rsid w:val="00BE0C52"/>
    <w:rsid w:val="00C06223"/>
    <w:rsid w:val="00C06361"/>
    <w:rsid w:val="00C621EE"/>
    <w:rsid w:val="00C7209F"/>
    <w:rsid w:val="00CA188D"/>
    <w:rsid w:val="00CA294E"/>
    <w:rsid w:val="00CE6448"/>
    <w:rsid w:val="00CF797C"/>
    <w:rsid w:val="00CF7FD3"/>
    <w:rsid w:val="00D44962"/>
    <w:rsid w:val="00D478AC"/>
    <w:rsid w:val="00D94FF7"/>
    <w:rsid w:val="00E33D4B"/>
    <w:rsid w:val="00E745CA"/>
    <w:rsid w:val="00ED6404"/>
    <w:rsid w:val="00F12590"/>
    <w:rsid w:val="00F47DB3"/>
    <w:rsid w:val="00F977D8"/>
    <w:rsid w:val="00FA6D89"/>
    <w:rsid w:val="00FF5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#e9c938" strokecolor="#e9c938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AB1"/>
  </w:style>
  <w:style w:type="paragraph" w:styleId="Heading1">
    <w:name w:val="heading 1"/>
    <w:basedOn w:val="Normal"/>
    <w:next w:val="Normal"/>
    <w:link w:val="Heading1Char"/>
    <w:qFormat/>
    <w:rsid w:val="00D94FF7"/>
    <w:pPr>
      <w:keepNext/>
      <w:numPr>
        <w:numId w:val="1"/>
      </w:numPr>
      <w:autoSpaceDE w:val="0"/>
      <w:autoSpaceDN w:val="0"/>
      <w:spacing w:before="240" w:after="80" w:line="240" w:lineRule="auto"/>
      <w:jc w:val="center"/>
      <w:outlineLvl w:val="0"/>
    </w:pPr>
    <w:rPr>
      <w:rFonts w:ascii="Times New Roman" w:eastAsia="Times New Roman" w:hAnsi="Times New Roman" w:cs="Times New Roman"/>
      <w:smallCaps/>
      <w:kern w:val="28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D94FF7"/>
    <w:pPr>
      <w:keepNext/>
      <w:numPr>
        <w:ilvl w:val="1"/>
        <w:numId w:val="1"/>
      </w:numPr>
      <w:autoSpaceDE w:val="0"/>
      <w:autoSpaceDN w:val="0"/>
      <w:spacing w:before="120" w:after="60" w:line="240" w:lineRule="auto"/>
      <w:ind w:left="144"/>
      <w:outlineLvl w:val="1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D94FF7"/>
    <w:pPr>
      <w:keepNext/>
      <w:numPr>
        <w:ilvl w:val="2"/>
        <w:numId w:val="1"/>
      </w:numPr>
      <w:autoSpaceDE w:val="0"/>
      <w:autoSpaceDN w:val="0"/>
      <w:spacing w:after="0" w:line="240" w:lineRule="auto"/>
      <w:ind w:left="288"/>
      <w:outlineLvl w:val="2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D94FF7"/>
    <w:pPr>
      <w:keepNext/>
      <w:numPr>
        <w:ilvl w:val="3"/>
        <w:numId w:val="1"/>
      </w:numPr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Heading5">
    <w:name w:val="heading 5"/>
    <w:basedOn w:val="Normal"/>
    <w:next w:val="Normal"/>
    <w:link w:val="Heading5Char"/>
    <w:qFormat/>
    <w:rsid w:val="00D94FF7"/>
    <w:pPr>
      <w:numPr>
        <w:ilvl w:val="4"/>
        <w:numId w:val="1"/>
      </w:num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 w:cs="Times New Roman"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D94FF7"/>
    <w:pPr>
      <w:numPr>
        <w:ilvl w:val="5"/>
        <w:numId w:val="1"/>
      </w:num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D94FF7"/>
    <w:pPr>
      <w:numPr>
        <w:ilvl w:val="6"/>
        <w:numId w:val="1"/>
      </w:num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16"/>
      <w:szCs w:val="16"/>
    </w:rPr>
  </w:style>
  <w:style w:type="paragraph" w:styleId="Heading8">
    <w:name w:val="heading 8"/>
    <w:basedOn w:val="Normal"/>
    <w:next w:val="Normal"/>
    <w:link w:val="Heading8Char"/>
    <w:qFormat/>
    <w:rsid w:val="00D94FF7"/>
    <w:pPr>
      <w:numPr>
        <w:ilvl w:val="7"/>
        <w:numId w:val="1"/>
      </w:numPr>
      <w:autoSpaceDE w:val="0"/>
      <w:autoSpaceDN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D94FF7"/>
    <w:pPr>
      <w:numPr>
        <w:ilvl w:val="8"/>
        <w:numId w:val="1"/>
      </w:numPr>
      <w:autoSpaceDE w:val="0"/>
      <w:autoSpaceDN w:val="0"/>
      <w:spacing w:before="240" w:after="60" w:line="240" w:lineRule="auto"/>
      <w:outlineLvl w:val="8"/>
    </w:pPr>
    <w:rPr>
      <w:rFonts w:ascii="Times New Roman" w:eastAsia="Times New Roman" w:hAnsi="Times New Roman" w:cs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4FF7"/>
    <w:rPr>
      <w:rFonts w:ascii="Times New Roman" w:eastAsia="Times New Roman" w:hAnsi="Times New Roman" w:cs="Times New Roman"/>
      <w:smallCaps/>
      <w:kern w:val="28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D94FF7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94FF7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D94FF7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Heading5Char">
    <w:name w:val="Heading 5 Char"/>
    <w:basedOn w:val="DefaultParagraphFont"/>
    <w:link w:val="Heading5"/>
    <w:rsid w:val="00D94FF7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D94FF7"/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D94FF7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8Char">
    <w:name w:val="Heading 8 Char"/>
    <w:basedOn w:val="DefaultParagraphFont"/>
    <w:link w:val="Heading8"/>
    <w:rsid w:val="00D94FF7"/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D94FF7"/>
    <w:rPr>
      <w:rFonts w:ascii="Times New Roman" w:eastAsia="Times New Roman" w:hAnsi="Times New Roman" w:cs="Times New Roman"/>
      <w:sz w:val="16"/>
      <w:szCs w:val="16"/>
    </w:rPr>
  </w:style>
  <w:style w:type="paragraph" w:customStyle="1" w:styleId="Authors">
    <w:name w:val="Authors"/>
    <w:basedOn w:val="Normal"/>
    <w:next w:val="Normal"/>
    <w:rsid w:val="00D94FF7"/>
    <w:pPr>
      <w:framePr w:w="9072" w:hSpace="187" w:vSpace="187" w:wrap="notBeside" w:vAnchor="text" w:hAnchor="page" w:xAlign="center" w:y="1"/>
      <w:autoSpaceDE w:val="0"/>
      <w:autoSpaceDN w:val="0"/>
      <w:spacing w:after="320" w:line="240" w:lineRule="auto"/>
      <w:jc w:val="center"/>
    </w:pPr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Normal"/>
    <w:link w:val="TitleChar"/>
    <w:qFormat/>
    <w:rsid w:val="00D94FF7"/>
    <w:pPr>
      <w:framePr w:w="9360" w:hSpace="187" w:vSpace="187" w:wrap="notBeside" w:vAnchor="text" w:hAnchor="page" w:xAlign="center" w:y="1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D94FF7"/>
    <w:rPr>
      <w:rFonts w:ascii="Times New Roman" w:eastAsia="Times New Roman" w:hAnsi="Times New Roman" w:cs="Times New Roman"/>
      <w:kern w:val="28"/>
      <w:sz w:val="48"/>
      <w:szCs w:val="48"/>
    </w:rPr>
  </w:style>
  <w:style w:type="paragraph" w:customStyle="1" w:styleId="Text">
    <w:name w:val="Text"/>
    <w:basedOn w:val="Normal"/>
    <w:rsid w:val="00D94FF7"/>
    <w:pPr>
      <w:widowControl w:val="0"/>
      <w:autoSpaceDE w:val="0"/>
      <w:autoSpaceDN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94FF7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94FF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D94FF7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rsid w:val="00D94FF7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6135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135FD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7749A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749AA"/>
  </w:style>
  <w:style w:type="paragraph" w:styleId="BalloonText">
    <w:name w:val="Balloon Text"/>
    <w:basedOn w:val="Normal"/>
    <w:link w:val="BalloonTextChar"/>
    <w:uiPriority w:val="99"/>
    <w:semiHidden/>
    <w:unhideWhenUsed/>
    <w:rsid w:val="00774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9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47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chart" Target="charts/chart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oleObject" Target="embeddings/oleObject2.bin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footer" Target="footer2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3.xml"/><Relationship Id="rId22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Vidhya\Desktop\REPORT%208-8-2013%20FINAL\ALL%20GRAPH%20COLLAPS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Vidhya\Desktop\REPORT%208-8-2013%20FINAL\ALL%20GRAPH%20COLLAPSE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Vidhya\Desktop\vidya%20final%2017-6-2013\New%20Microsoft%20Office%20Excel%20Worksheet%20%20%20%20%20%20%20%20%20D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Vidhya\Desktop\REPORT%208-8-2013%20FINAL\ALL%20GRAPH%20COLLAPS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plotArea>
      <c:layout>
        <c:manualLayout>
          <c:layoutTarget val="inner"/>
          <c:xMode val="edge"/>
          <c:yMode val="edge"/>
          <c:x val="0.15983420091337391"/>
          <c:y val="6.839456402987007E-2"/>
          <c:w val="0.67876324575410074"/>
          <c:h val="0.77305395788414244"/>
        </c:manualLayout>
      </c:layout>
      <c:scatterChart>
        <c:scatterStyle val="lineMarker"/>
        <c:ser>
          <c:idx val="0"/>
          <c:order val="0"/>
          <c:tx>
            <c:v>CA</c:v>
          </c:tx>
          <c:marker>
            <c:symbol val="none"/>
          </c:marker>
          <c:xVal>
            <c:numRef>
              <c:f>Sheet1!$A$2:$A$8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</c:numCache>
            </c:numRef>
          </c:xVal>
          <c:yVal>
            <c:numRef>
              <c:f>Sheet1!$B$2:$B$8</c:f>
              <c:numCache>
                <c:formatCode>General</c:formatCode>
                <c:ptCount val="7"/>
                <c:pt idx="0">
                  <c:v>2.6830000000000766E-6</c:v>
                </c:pt>
                <c:pt idx="1">
                  <c:v>5.4805000000000124E-2</c:v>
                </c:pt>
                <c:pt idx="2">
                  <c:v>6.9340000000000124E-2</c:v>
                </c:pt>
                <c:pt idx="3">
                  <c:v>8.0545000000000574E-2</c:v>
                </c:pt>
                <c:pt idx="4">
                  <c:v>8.8890000000000802E-2</c:v>
                </c:pt>
                <c:pt idx="5">
                  <c:v>0.14672399999999999</c:v>
                </c:pt>
                <c:pt idx="6">
                  <c:v>8.7624000000001298E-2</c:v>
                </c:pt>
              </c:numCache>
            </c:numRef>
          </c:yVal>
        </c:ser>
        <c:ser>
          <c:idx val="1"/>
          <c:order val="1"/>
          <c:tx>
            <c:v>C1G</c:v>
          </c:tx>
          <c:marker>
            <c:symbol val="none"/>
          </c:marker>
          <c:xVal>
            <c:numRef>
              <c:f>Sheet1!$A$10:$A$23</c:f>
              <c:numCache>
                <c:formatCode>General</c:formatCode>
                <c:ptCount val="1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</c:numCache>
            </c:numRef>
          </c:xVal>
          <c:yVal>
            <c:numRef>
              <c:f>Sheet1!$B$10:$B$23</c:f>
              <c:numCache>
                <c:formatCode>General</c:formatCode>
                <c:ptCount val="14"/>
                <c:pt idx="0">
                  <c:v>-2.4700000000000096E-4</c:v>
                </c:pt>
                <c:pt idx="1">
                  <c:v>1.9325000000000161E-2</c:v>
                </c:pt>
                <c:pt idx="2">
                  <c:v>3.3606000000000011E-2</c:v>
                </c:pt>
                <c:pt idx="3">
                  <c:v>3.9848000000000112E-2</c:v>
                </c:pt>
                <c:pt idx="4">
                  <c:v>4.4673000000000004E-2</c:v>
                </c:pt>
                <c:pt idx="5">
                  <c:v>4.6688E-2</c:v>
                </c:pt>
                <c:pt idx="6">
                  <c:v>4.8967000000000024E-2</c:v>
                </c:pt>
                <c:pt idx="7">
                  <c:v>8.6664000000000768E-2</c:v>
                </c:pt>
                <c:pt idx="8">
                  <c:v>9.613300000000001E-2</c:v>
                </c:pt>
                <c:pt idx="9">
                  <c:v>0.10231999999999875</c:v>
                </c:pt>
                <c:pt idx="10">
                  <c:v>0.102351</c:v>
                </c:pt>
                <c:pt idx="11">
                  <c:v>0.10329500000000152</c:v>
                </c:pt>
                <c:pt idx="12">
                  <c:v>0.10504600000000019</c:v>
                </c:pt>
                <c:pt idx="13">
                  <c:v>9.3415000000000067E-2</c:v>
                </c:pt>
              </c:numCache>
            </c:numRef>
          </c:yVal>
        </c:ser>
        <c:ser>
          <c:idx val="2"/>
          <c:order val="2"/>
          <c:tx>
            <c:v>C2G</c:v>
          </c:tx>
          <c:marker>
            <c:symbol val="none"/>
          </c:marker>
          <c:xVal>
            <c:numRef>
              <c:f>Sheet1!$A$25:$A$31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</c:numCache>
            </c:numRef>
          </c:xVal>
          <c:yVal>
            <c:numRef>
              <c:f>Sheet1!$B$25:$B$31</c:f>
              <c:numCache>
                <c:formatCode>General</c:formatCode>
                <c:ptCount val="7"/>
                <c:pt idx="0">
                  <c:v>4.5600000000000133E-4</c:v>
                </c:pt>
                <c:pt idx="1">
                  <c:v>1.3974000000000058E-2</c:v>
                </c:pt>
                <c:pt idx="2">
                  <c:v>3.2273000000000593E-2</c:v>
                </c:pt>
                <c:pt idx="3">
                  <c:v>3.698400000000017E-2</c:v>
                </c:pt>
                <c:pt idx="4">
                  <c:v>4.2348000000000031E-2</c:v>
                </c:pt>
                <c:pt idx="5">
                  <c:v>4.2658000000000001E-2</c:v>
                </c:pt>
                <c:pt idx="6">
                  <c:v>-3.6069000000000052E-2</c:v>
                </c:pt>
              </c:numCache>
            </c:numRef>
          </c:yVal>
        </c:ser>
        <c:ser>
          <c:idx val="3"/>
          <c:order val="3"/>
          <c:tx>
            <c:v>C3G</c:v>
          </c:tx>
          <c:marker>
            <c:symbol val="none"/>
          </c:marker>
          <c:xVal>
            <c:numRef>
              <c:f>Sheet1!$A$33:$A$39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</c:numCache>
            </c:numRef>
          </c:xVal>
          <c:yVal>
            <c:numRef>
              <c:f>Sheet1!$B$33:$B$39</c:f>
              <c:numCache>
                <c:formatCode>General</c:formatCode>
                <c:ptCount val="7"/>
                <c:pt idx="0">
                  <c:v>5.8100000000000306E-4</c:v>
                </c:pt>
                <c:pt idx="1">
                  <c:v>5.1130000000000016E-2</c:v>
                </c:pt>
                <c:pt idx="2">
                  <c:v>6.8337000000000397E-2</c:v>
                </c:pt>
                <c:pt idx="3">
                  <c:v>7.7687000000000339E-2</c:v>
                </c:pt>
                <c:pt idx="4">
                  <c:v>8.1727000000000563E-2</c:v>
                </c:pt>
                <c:pt idx="5">
                  <c:v>0.136184</c:v>
                </c:pt>
                <c:pt idx="6">
                  <c:v>9.0714000000000267E-2</c:v>
                </c:pt>
              </c:numCache>
            </c:numRef>
          </c:yVal>
        </c:ser>
        <c:ser>
          <c:idx val="4"/>
          <c:order val="4"/>
          <c:tx>
            <c:v>C4G</c:v>
          </c:tx>
          <c:marker>
            <c:symbol val="none"/>
          </c:marker>
          <c:xVal>
            <c:numRef>
              <c:f>Sheet1!$A$41:$A$48</c:f>
              <c:numCache>
                <c:formatCode>General</c:formatCode>
                <c:ptCount val="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</c:numCache>
            </c:numRef>
          </c:xVal>
          <c:yVal>
            <c:numRef>
              <c:f>Sheet1!$B$41:$B$48</c:f>
              <c:numCache>
                <c:formatCode>General</c:formatCode>
                <c:ptCount val="8"/>
                <c:pt idx="0">
                  <c:v>-2.7000000000000663E-5</c:v>
                </c:pt>
                <c:pt idx="1">
                  <c:v>1.4194E-2</c:v>
                </c:pt>
                <c:pt idx="2">
                  <c:v>4.2183000000000123E-2</c:v>
                </c:pt>
                <c:pt idx="3">
                  <c:v>5.0111000000000024E-2</c:v>
                </c:pt>
                <c:pt idx="4">
                  <c:v>5.1438000000000032E-2</c:v>
                </c:pt>
                <c:pt idx="5">
                  <c:v>5.1820000000000012E-2</c:v>
                </c:pt>
                <c:pt idx="6">
                  <c:v>0.10617000000000019</c:v>
                </c:pt>
                <c:pt idx="7">
                  <c:v>8.9110000000000064E-2</c:v>
                </c:pt>
              </c:numCache>
            </c:numRef>
          </c:yVal>
        </c:ser>
        <c:ser>
          <c:idx val="5"/>
          <c:order val="5"/>
          <c:tx>
            <c:v>C5G</c:v>
          </c:tx>
          <c:marker>
            <c:symbol val="none"/>
          </c:marker>
          <c:xVal>
            <c:numRef>
              <c:f>Sheet1!$A$50:$A$57</c:f>
              <c:numCache>
                <c:formatCode>General</c:formatCode>
                <c:ptCount val="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</c:numCache>
            </c:numRef>
          </c:xVal>
          <c:yVal>
            <c:numRef>
              <c:f>Sheet1!$B$50:$B$57</c:f>
              <c:numCache>
                <c:formatCode>General</c:formatCode>
                <c:ptCount val="8"/>
                <c:pt idx="0">
                  <c:v>3.9050000000000719E-6</c:v>
                </c:pt>
                <c:pt idx="1">
                  <c:v>4.6134999999999995E-2</c:v>
                </c:pt>
                <c:pt idx="2">
                  <c:v>6.6507000000000024E-2</c:v>
                </c:pt>
                <c:pt idx="3">
                  <c:v>7.9420000000000324E-2</c:v>
                </c:pt>
                <c:pt idx="4">
                  <c:v>8.0904000000000267E-2</c:v>
                </c:pt>
                <c:pt idx="5">
                  <c:v>8.1279000000000018E-2</c:v>
                </c:pt>
                <c:pt idx="6">
                  <c:v>0.13396500000000044</c:v>
                </c:pt>
                <c:pt idx="7">
                  <c:v>0.111547999999999</c:v>
                </c:pt>
              </c:numCache>
            </c:numRef>
          </c:yVal>
        </c:ser>
        <c:axId val="117420416"/>
        <c:axId val="117422336"/>
      </c:scatterChart>
      <c:valAx>
        <c:axId val="11742041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US" sz="1000" b="0"/>
                </a:pPr>
                <a:r>
                  <a:rPr lang="en-US" sz="1000" b="0">
                    <a:latin typeface="Times New Roman" pitchFamily="18" charset="0"/>
                    <a:cs typeface="Times New Roman" pitchFamily="18" charset="0"/>
                  </a:rPr>
                  <a:t>Steps</a:t>
                </a:r>
                <a:r>
                  <a:rPr lang="en-US" sz="1000" b="0" baseline="0">
                    <a:latin typeface="Times New Roman" pitchFamily="18" charset="0"/>
                    <a:cs typeface="Times New Roman" pitchFamily="18" charset="0"/>
                  </a:rPr>
                  <a:t> in push over analysis</a:t>
                </a:r>
                <a:endParaRPr lang="en-US" sz="1000" b="0">
                  <a:latin typeface="Times New Roman" pitchFamily="18" charset="0"/>
                  <a:cs typeface="Times New Roman" pitchFamily="18" charset="0"/>
                </a:endParaRPr>
              </a:p>
            </c:rich>
          </c:tx>
        </c:title>
        <c:numFmt formatCode="General" sourceLinked="1"/>
        <c:tickLblPos val="nextTo"/>
        <c:spPr>
          <a:ln w="25400"/>
        </c:spPr>
        <c:txPr>
          <a:bodyPr/>
          <a:lstStyle/>
          <a:p>
            <a:pPr>
              <a:defRPr lang="en-US" sz="1050"/>
            </a:pPr>
            <a:endParaRPr lang="en-US"/>
          </a:p>
        </c:txPr>
        <c:crossAx val="117422336"/>
        <c:crosses val="autoZero"/>
        <c:crossBetween val="midCat"/>
      </c:valAx>
      <c:valAx>
        <c:axId val="117422336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 lang="en-US" sz="1000" b="0"/>
                </a:pPr>
                <a:r>
                  <a:rPr lang="en-US" sz="1000" b="0">
                    <a:latin typeface="Times New Roman" pitchFamily="18" charset="0"/>
                    <a:cs typeface="Times New Roman" pitchFamily="18" charset="0"/>
                  </a:rPr>
                  <a:t>Displacements (m)</a:t>
                </a:r>
              </a:p>
            </c:rich>
          </c:tx>
          <c:layout>
            <c:manualLayout>
              <c:xMode val="edge"/>
              <c:yMode val="edge"/>
              <c:x val="3.3333383735746201E-2"/>
              <c:y val="0.21464338438284408"/>
            </c:manualLayout>
          </c:layout>
        </c:title>
        <c:numFmt formatCode="General" sourceLinked="1"/>
        <c:tickLblPos val="nextTo"/>
        <c:spPr>
          <a:ln w="25400"/>
        </c:spPr>
        <c:txPr>
          <a:bodyPr/>
          <a:lstStyle/>
          <a:p>
            <a:pPr>
              <a:defRPr lang="en-US" sz="105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17420416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83674336735928778"/>
          <c:y val="0.10281872006829226"/>
          <c:w val="0.14405344438121012"/>
          <c:h val="0.78814616267185644"/>
        </c:manualLayout>
      </c:layout>
      <c:txPr>
        <a:bodyPr/>
        <a:lstStyle/>
        <a:p>
          <a:pPr>
            <a:defRPr lang="en-US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plotArea>
      <c:layout>
        <c:manualLayout>
          <c:layoutTarget val="inner"/>
          <c:xMode val="edge"/>
          <c:yMode val="edge"/>
          <c:x val="0.15340958051658629"/>
          <c:y val="6.8041424905304571E-2"/>
          <c:w val="0.66223630672888711"/>
          <c:h val="0.80213095806904577"/>
        </c:manualLayout>
      </c:layout>
      <c:scatterChart>
        <c:scatterStyle val="smoothMarker"/>
        <c:ser>
          <c:idx val="1"/>
          <c:order val="1"/>
          <c:tx>
            <c:v>C1F</c:v>
          </c:tx>
          <c:marker>
            <c:symbol val="none"/>
          </c:marker>
          <c:xVal>
            <c:numRef>
              <c:f>Sheet1!$D$10:$D$28</c:f>
              <c:numCache>
                <c:formatCode>General</c:formatCode>
                <c:ptCount val="19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</c:numCache>
            </c:numRef>
          </c:xVal>
          <c:yVal>
            <c:numRef>
              <c:f>Sheet1!$E$10:$E$28</c:f>
              <c:numCache>
                <c:formatCode>General</c:formatCode>
                <c:ptCount val="19"/>
                <c:pt idx="0">
                  <c:v>-2.1300000000000016E-4</c:v>
                </c:pt>
                <c:pt idx="1">
                  <c:v>1.4858999999999956E-2</c:v>
                </c:pt>
                <c:pt idx="2">
                  <c:v>4.2440000000000012E-2</c:v>
                </c:pt>
                <c:pt idx="3">
                  <c:v>5.5693000000000013E-2</c:v>
                </c:pt>
                <c:pt idx="4">
                  <c:v>5.7658000000000001E-2</c:v>
                </c:pt>
                <c:pt idx="5">
                  <c:v>5.7931000000000003E-2</c:v>
                </c:pt>
                <c:pt idx="6">
                  <c:v>6.6428000000000001E-2</c:v>
                </c:pt>
                <c:pt idx="7">
                  <c:v>9.911900000000004E-2</c:v>
                </c:pt>
                <c:pt idx="8">
                  <c:v>0.11927599999999999</c:v>
                </c:pt>
                <c:pt idx="9">
                  <c:v>0.11930499999999998</c:v>
                </c:pt>
                <c:pt idx="10">
                  <c:v>0.11996400000000022</c:v>
                </c:pt>
                <c:pt idx="11">
                  <c:v>0.12040200000000002</c:v>
                </c:pt>
                <c:pt idx="12">
                  <c:v>0.124388</c:v>
                </c:pt>
                <c:pt idx="13">
                  <c:v>0.12442300000000112</c:v>
                </c:pt>
                <c:pt idx="14">
                  <c:v>0.12475500000000103</c:v>
                </c:pt>
                <c:pt idx="15">
                  <c:v>0.12478800000000002</c:v>
                </c:pt>
                <c:pt idx="16">
                  <c:v>0.125388</c:v>
                </c:pt>
                <c:pt idx="17">
                  <c:v>0.12667999999999988</c:v>
                </c:pt>
                <c:pt idx="18">
                  <c:v>0.11399300000000002</c:v>
                </c:pt>
              </c:numCache>
            </c:numRef>
          </c:yVal>
          <c:smooth val="1"/>
        </c:ser>
        <c:ser>
          <c:idx val="2"/>
          <c:order val="2"/>
          <c:tx>
            <c:v>C2F</c:v>
          </c:tx>
          <c:marker>
            <c:symbol val="none"/>
          </c:marker>
          <c:xVal>
            <c:numRef>
              <c:f>Sheet1!$D$30:$D$38</c:f>
              <c:numCache>
                <c:formatCode>General</c:formatCode>
                <c:ptCount val="9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</c:numCache>
            </c:numRef>
          </c:xVal>
          <c:yVal>
            <c:numRef>
              <c:f>Sheet1!$E$30:$E$38</c:f>
              <c:numCache>
                <c:formatCode>General</c:formatCode>
                <c:ptCount val="9"/>
                <c:pt idx="0">
                  <c:v>3.9200000000000514E-4</c:v>
                </c:pt>
                <c:pt idx="1">
                  <c:v>7.3300000000000743E-3</c:v>
                </c:pt>
                <c:pt idx="2">
                  <c:v>4.2240999999999987E-2</c:v>
                </c:pt>
                <c:pt idx="3">
                  <c:v>5.6118000000000001E-2</c:v>
                </c:pt>
                <c:pt idx="4">
                  <c:v>5.9885000000000112E-2</c:v>
                </c:pt>
                <c:pt idx="5">
                  <c:v>6.0692000000000114E-2</c:v>
                </c:pt>
                <c:pt idx="6">
                  <c:v>9.7470000000000015E-2</c:v>
                </c:pt>
                <c:pt idx="7">
                  <c:v>0.127303</c:v>
                </c:pt>
                <c:pt idx="8">
                  <c:v>0.126054</c:v>
                </c:pt>
              </c:numCache>
            </c:numRef>
          </c:yVal>
          <c:smooth val="1"/>
        </c:ser>
        <c:axId val="117577984"/>
        <c:axId val="117592448"/>
      </c:scatterChart>
      <c:scatterChart>
        <c:scatterStyle val="lineMarker"/>
        <c:ser>
          <c:idx val="0"/>
          <c:order val="0"/>
          <c:tx>
            <c:v>CA</c:v>
          </c:tx>
          <c:marker>
            <c:symbol val="none"/>
          </c:marker>
          <c:xVal>
            <c:numRef>
              <c:f>Sheet1!$A$2:$A$8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</c:numCache>
            </c:numRef>
          </c:xVal>
          <c:yVal>
            <c:numRef>
              <c:f>Sheet1!$B$2:$B$8</c:f>
              <c:numCache>
                <c:formatCode>General</c:formatCode>
                <c:ptCount val="7"/>
                <c:pt idx="0">
                  <c:v>2.6830000000000754E-6</c:v>
                </c:pt>
                <c:pt idx="1">
                  <c:v>5.4805000000000013E-2</c:v>
                </c:pt>
                <c:pt idx="2">
                  <c:v>6.9340000000000013E-2</c:v>
                </c:pt>
                <c:pt idx="3">
                  <c:v>8.0545000000000047E-2</c:v>
                </c:pt>
                <c:pt idx="4">
                  <c:v>8.8890000000000247E-2</c:v>
                </c:pt>
                <c:pt idx="5">
                  <c:v>0.14672399999999999</c:v>
                </c:pt>
                <c:pt idx="6">
                  <c:v>8.7624000000000798E-2</c:v>
                </c:pt>
              </c:numCache>
            </c:numRef>
          </c:yVal>
        </c:ser>
        <c:ser>
          <c:idx val="3"/>
          <c:order val="3"/>
          <c:tx>
            <c:v>C3F</c:v>
          </c:tx>
          <c:marker>
            <c:symbol val="none"/>
          </c:marker>
          <c:xVal>
            <c:numRef>
              <c:f>Sheet1!$D$40:$D$50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numCache>
            </c:numRef>
          </c:xVal>
          <c:yVal>
            <c:numRef>
              <c:f>Sheet1!$E$40:$E$50</c:f>
              <c:numCache>
                <c:formatCode>General</c:formatCode>
                <c:ptCount val="11"/>
                <c:pt idx="0">
                  <c:v>5.0200000000000038E-4</c:v>
                </c:pt>
                <c:pt idx="1">
                  <c:v>1.0551E-2</c:v>
                </c:pt>
                <c:pt idx="2">
                  <c:v>4.2864000000000034E-2</c:v>
                </c:pt>
                <c:pt idx="3">
                  <c:v>5.5405000000000003E-2</c:v>
                </c:pt>
                <c:pt idx="4">
                  <c:v>5.9596000000000954E-2</c:v>
                </c:pt>
                <c:pt idx="5">
                  <c:v>6.1189E-2</c:v>
                </c:pt>
                <c:pt idx="6">
                  <c:v>9.7028000000000003E-2</c:v>
                </c:pt>
                <c:pt idx="7">
                  <c:v>0.127082</c:v>
                </c:pt>
                <c:pt idx="8">
                  <c:v>0.12717199999999987</c:v>
                </c:pt>
                <c:pt idx="9">
                  <c:v>0.128189</c:v>
                </c:pt>
                <c:pt idx="10">
                  <c:v>1.2481000000000001E-2</c:v>
                </c:pt>
              </c:numCache>
            </c:numRef>
          </c:yVal>
        </c:ser>
        <c:ser>
          <c:idx val="4"/>
          <c:order val="4"/>
          <c:tx>
            <c:v>C4F</c:v>
          </c:tx>
          <c:marker>
            <c:symbol val="none"/>
          </c:marker>
          <c:xVal>
            <c:numRef>
              <c:f>Sheet1!$D$52:$D$59</c:f>
              <c:numCache>
                <c:formatCode>General</c:formatCode>
                <c:ptCount val="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</c:numCache>
            </c:numRef>
          </c:xVal>
          <c:yVal>
            <c:numRef>
              <c:f>Sheet1!$E$52:$E$59</c:f>
              <c:numCache>
                <c:formatCode>General</c:formatCode>
                <c:ptCount val="8"/>
                <c:pt idx="0">
                  <c:v>1.2000000000000187E-5</c:v>
                </c:pt>
                <c:pt idx="1">
                  <c:v>8.1870000000000068E-3</c:v>
                </c:pt>
                <c:pt idx="2">
                  <c:v>1.5892E-2</c:v>
                </c:pt>
                <c:pt idx="3">
                  <c:v>5.1868000000000004E-2</c:v>
                </c:pt>
                <c:pt idx="4">
                  <c:v>5.3221999999999985E-2</c:v>
                </c:pt>
                <c:pt idx="5">
                  <c:v>0.15392700000000201</c:v>
                </c:pt>
                <c:pt idx="6">
                  <c:v>0.21067</c:v>
                </c:pt>
                <c:pt idx="7">
                  <c:v>0.19472200000000001</c:v>
                </c:pt>
              </c:numCache>
            </c:numRef>
          </c:yVal>
        </c:ser>
        <c:ser>
          <c:idx val="5"/>
          <c:order val="5"/>
          <c:tx>
            <c:v>C5F</c:v>
          </c:tx>
          <c:marker>
            <c:symbol val="none"/>
          </c:marker>
          <c:xVal>
            <c:numRef>
              <c:f>Sheet1!$D$61:$D$68</c:f>
              <c:numCache>
                <c:formatCode>General</c:formatCode>
                <c:ptCount val="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</c:numCache>
            </c:numRef>
          </c:xVal>
          <c:yVal>
            <c:numRef>
              <c:f>Sheet1!$E$61:$E$68</c:f>
              <c:numCache>
                <c:formatCode>General</c:formatCode>
                <c:ptCount val="8"/>
                <c:pt idx="0">
                  <c:v>4.2470000000000747E-6</c:v>
                </c:pt>
                <c:pt idx="1">
                  <c:v>5.3194999999999999E-2</c:v>
                </c:pt>
                <c:pt idx="2">
                  <c:v>7.0103000000000013E-2</c:v>
                </c:pt>
                <c:pt idx="3">
                  <c:v>8.0274000000000026E-2</c:v>
                </c:pt>
                <c:pt idx="4">
                  <c:v>0.10279600000000158</c:v>
                </c:pt>
                <c:pt idx="5">
                  <c:v>0.15108600000000041</c:v>
                </c:pt>
                <c:pt idx="6">
                  <c:v>0.15108900000000094</c:v>
                </c:pt>
                <c:pt idx="7">
                  <c:v>0.10064300000000002</c:v>
                </c:pt>
              </c:numCache>
            </c:numRef>
          </c:yVal>
        </c:ser>
        <c:axId val="117577984"/>
        <c:axId val="117592448"/>
      </c:scatterChart>
      <c:valAx>
        <c:axId val="11757798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US" sz="1000" b="0"/>
                </a:pPr>
                <a:r>
                  <a:rPr lang="en-US" sz="1000" b="0">
                    <a:latin typeface="Times New Roman" pitchFamily="18" charset="0"/>
                    <a:cs typeface="Times New Roman" pitchFamily="18" charset="0"/>
                  </a:rPr>
                  <a:t>Steps</a:t>
                </a:r>
                <a:r>
                  <a:rPr lang="en-US" sz="1000" b="0" baseline="0">
                    <a:latin typeface="Times New Roman" pitchFamily="18" charset="0"/>
                    <a:cs typeface="Times New Roman" pitchFamily="18" charset="0"/>
                  </a:rPr>
                  <a:t> in push over analysis</a:t>
                </a:r>
                <a:endParaRPr lang="en-US" sz="1000" b="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31466409741884332"/>
              <c:y val="0.89208330925743062"/>
            </c:manualLayout>
          </c:layout>
        </c:title>
        <c:numFmt formatCode="General" sourceLinked="1"/>
        <c:tickLblPos val="nextTo"/>
        <c:spPr>
          <a:ln w="25400"/>
        </c:spPr>
        <c:txPr>
          <a:bodyPr/>
          <a:lstStyle/>
          <a:p>
            <a:pPr>
              <a:defRPr lang="en-US" sz="1050"/>
            </a:pPr>
            <a:endParaRPr lang="en-US"/>
          </a:p>
        </c:txPr>
        <c:crossAx val="117592448"/>
        <c:crosses val="autoZero"/>
        <c:crossBetween val="midCat"/>
      </c:valAx>
      <c:valAx>
        <c:axId val="117592448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 lang="en-US" sz="1000" b="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sz="1000" b="0">
                    <a:latin typeface="Times New Roman" pitchFamily="18" charset="0"/>
                    <a:cs typeface="Times New Roman" pitchFamily="18" charset="0"/>
                  </a:rPr>
                  <a:t>Displacements (m)</a:t>
                </a:r>
              </a:p>
            </c:rich>
          </c:tx>
          <c:layout>
            <c:manualLayout>
              <c:xMode val="edge"/>
              <c:yMode val="edge"/>
              <c:x val="1.9259144452021228E-2"/>
              <c:y val="0.20825711995237592"/>
            </c:manualLayout>
          </c:layout>
        </c:title>
        <c:numFmt formatCode="General" sourceLinked="1"/>
        <c:tickLblPos val="nextTo"/>
        <c:spPr>
          <a:ln w="25400"/>
        </c:spPr>
        <c:txPr>
          <a:bodyPr/>
          <a:lstStyle/>
          <a:p>
            <a:pPr>
              <a:defRPr lang="en-US" sz="1050"/>
            </a:pPr>
            <a:endParaRPr lang="en-US"/>
          </a:p>
        </c:txPr>
        <c:crossAx val="117577984"/>
        <c:crosses val="autoZero"/>
        <c:crossBetween val="midCat"/>
      </c:valAx>
    </c:plotArea>
    <c:legend>
      <c:legendPos val="r"/>
      <c:txPr>
        <a:bodyPr/>
        <a:lstStyle/>
        <a:p>
          <a:pPr>
            <a:defRPr lang="en-US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autoTitleDeleted val="1"/>
    <c:plotArea>
      <c:layout>
        <c:manualLayout>
          <c:layoutTarget val="inner"/>
          <c:xMode val="edge"/>
          <c:yMode val="edge"/>
          <c:x val="0.14786955234005789"/>
          <c:y val="0.21069994366972178"/>
          <c:w val="0.76387749405066263"/>
          <c:h val="0.55618957390963619"/>
        </c:manualLayout>
      </c:layout>
      <c:scatterChart>
        <c:scatterStyle val="smoothMarker"/>
        <c:ser>
          <c:idx val="0"/>
          <c:order val="0"/>
          <c:tx>
            <c:v>C3G</c:v>
          </c:tx>
          <c:marker>
            <c:symbol val="none"/>
          </c:marker>
          <c:xVal>
            <c:numRef>
              <c:f>Sheet1!$B$2:$B$7</c:f>
              <c:numCache>
                <c:formatCode>General</c:formatCode>
                <c:ptCount val="6"/>
                <c:pt idx="0">
                  <c:v>0</c:v>
                </c:pt>
                <c:pt idx="1">
                  <c:v>5.1130000000000002E-2</c:v>
                </c:pt>
                <c:pt idx="2">
                  <c:v>6.8337000000000023E-2</c:v>
                </c:pt>
                <c:pt idx="3">
                  <c:v>7.768700000000002E-2</c:v>
                </c:pt>
                <c:pt idx="4">
                  <c:v>8.1727000000000063E-2</c:v>
                </c:pt>
                <c:pt idx="5">
                  <c:v>0.136184</c:v>
                </c:pt>
              </c:numCache>
            </c:numRef>
          </c:xVal>
          <c:yVal>
            <c:numRef>
              <c:f>Sheet1!$C$2:$C$7</c:f>
              <c:numCache>
                <c:formatCode>General</c:formatCode>
                <c:ptCount val="6"/>
                <c:pt idx="0">
                  <c:v>0</c:v>
                </c:pt>
                <c:pt idx="1">
                  <c:v>3786.9140000000002</c:v>
                </c:pt>
                <c:pt idx="2">
                  <c:v>4809.1450000000004</c:v>
                </c:pt>
                <c:pt idx="3">
                  <c:v>5072.8760000000002</c:v>
                </c:pt>
                <c:pt idx="4">
                  <c:v>5136.8830000000007</c:v>
                </c:pt>
                <c:pt idx="5">
                  <c:v>5511.7910000000002</c:v>
                </c:pt>
              </c:numCache>
            </c:numRef>
          </c:yVal>
          <c:smooth val="1"/>
        </c:ser>
        <c:ser>
          <c:idx val="1"/>
          <c:order val="1"/>
          <c:tx>
            <c:v>C2G</c:v>
          </c:tx>
          <c:marker>
            <c:symbol val="none"/>
          </c:marker>
          <c:xVal>
            <c:numRef>
              <c:f>Sheet1!$F$2:$F$7</c:f>
              <c:numCache>
                <c:formatCode>General</c:formatCode>
                <c:ptCount val="6"/>
                <c:pt idx="0">
                  <c:v>0</c:v>
                </c:pt>
                <c:pt idx="1">
                  <c:v>1.3974000000000007E-2</c:v>
                </c:pt>
                <c:pt idx="2">
                  <c:v>3.2273000000000253E-2</c:v>
                </c:pt>
                <c:pt idx="3">
                  <c:v>3.698400000000001E-2</c:v>
                </c:pt>
                <c:pt idx="4">
                  <c:v>4.2348000000000004E-2</c:v>
                </c:pt>
                <c:pt idx="5">
                  <c:v>4.2658000000000001E-2</c:v>
                </c:pt>
              </c:numCache>
            </c:numRef>
          </c:xVal>
          <c:yVal>
            <c:numRef>
              <c:f>Sheet1!$G$2:$G$7</c:f>
              <c:numCache>
                <c:formatCode>General</c:formatCode>
                <c:ptCount val="6"/>
                <c:pt idx="0">
                  <c:v>0</c:v>
                </c:pt>
                <c:pt idx="1">
                  <c:v>1012.245</c:v>
                </c:pt>
                <c:pt idx="2">
                  <c:v>2293.1410000000001</c:v>
                </c:pt>
                <c:pt idx="3">
                  <c:v>2457.0189999999998</c:v>
                </c:pt>
                <c:pt idx="4">
                  <c:v>2558.0500000000002</c:v>
                </c:pt>
                <c:pt idx="5">
                  <c:v>2561.652</c:v>
                </c:pt>
              </c:numCache>
            </c:numRef>
          </c:yVal>
          <c:smooth val="1"/>
        </c:ser>
        <c:ser>
          <c:idx val="2"/>
          <c:order val="2"/>
          <c:tx>
            <c:v>C1G</c:v>
          </c:tx>
          <c:marker>
            <c:symbol val="none"/>
          </c:marker>
          <c:xVal>
            <c:numRef>
              <c:f>Sheet1!$B$19:$B$31</c:f>
              <c:numCache>
                <c:formatCode>General</c:formatCode>
                <c:ptCount val="13"/>
                <c:pt idx="0">
                  <c:v>0</c:v>
                </c:pt>
                <c:pt idx="1">
                  <c:v>1.9325000000000092E-2</c:v>
                </c:pt>
                <c:pt idx="2">
                  <c:v>3.3606000000000004E-2</c:v>
                </c:pt>
                <c:pt idx="3">
                  <c:v>3.9848000000000001E-2</c:v>
                </c:pt>
                <c:pt idx="4">
                  <c:v>4.4673000000000004E-2</c:v>
                </c:pt>
                <c:pt idx="5">
                  <c:v>4.6688E-2</c:v>
                </c:pt>
                <c:pt idx="6">
                  <c:v>4.8967000000000004E-2</c:v>
                </c:pt>
                <c:pt idx="7">
                  <c:v>8.6664000000000588E-2</c:v>
                </c:pt>
                <c:pt idx="8">
                  <c:v>9.613300000000001E-2</c:v>
                </c:pt>
                <c:pt idx="9">
                  <c:v>0.10231999999999945</c:v>
                </c:pt>
                <c:pt idx="10">
                  <c:v>0.102351</c:v>
                </c:pt>
                <c:pt idx="11">
                  <c:v>0.10329500000000071</c:v>
                </c:pt>
                <c:pt idx="12">
                  <c:v>0.10504600000000019</c:v>
                </c:pt>
              </c:numCache>
            </c:numRef>
          </c:xVal>
          <c:yVal>
            <c:numRef>
              <c:f>Sheet1!$C$19:$C$31</c:f>
              <c:numCache>
                <c:formatCode>General</c:formatCode>
                <c:ptCount val="13"/>
                <c:pt idx="0">
                  <c:v>0</c:v>
                </c:pt>
                <c:pt idx="1">
                  <c:v>1442.375</c:v>
                </c:pt>
                <c:pt idx="2">
                  <c:v>2406.8440000000001</c:v>
                </c:pt>
                <c:pt idx="3">
                  <c:v>2594.8649999999998</c:v>
                </c:pt>
                <c:pt idx="4">
                  <c:v>2663.3300000000022</c:v>
                </c:pt>
                <c:pt idx="5">
                  <c:v>2678.614</c:v>
                </c:pt>
                <c:pt idx="6">
                  <c:v>2690.03</c:v>
                </c:pt>
                <c:pt idx="7">
                  <c:v>2731.7249999999863</c:v>
                </c:pt>
                <c:pt idx="8">
                  <c:v>2737.3629999999998</c:v>
                </c:pt>
                <c:pt idx="9">
                  <c:v>2739.4270000000001</c:v>
                </c:pt>
                <c:pt idx="10">
                  <c:v>2665.3020000000001</c:v>
                </c:pt>
                <c:pt idx="11">
                  <c:v>2676.9330000000123</c:v>
                </c:pt>
                <c:pt idx="12">
                  <c:v>2678.2939999999999</c:v>
                </c:pt>
              </c:numCache>
            </c:numRef>
          </c:yVal>
          <c:smooth val="1"/>
        </c:ser>
        <c:ser>
          <c:idx val="3"/>
          <c:order val="3"/>
          <c:tx>
            <c:v>CA</c:v>
          </c:tx>
          <c:marker>
            <c:symbol val="none"/>
          </c:marker>
          <c:xVal>
            <c:numRef>
              <c:f>Sheet1!$F$19:$F$24</c:f>
              <c:numCache>
                <c:formatCode>General</c:formatCode>
                <c:ptCount val="6"/>
                <c:pt idx="0">
                  <c:v>0</c:v>
                </c:pt>
                <c:pt idx="1">
                  <c:v>5.4805000000000013E-2</c:v>
                </c:pt>
                <c:pt idx="2">
                  <c:v>6.9340000000000013E-2</c:v>
                </c:pt>
                <c:pt idx="3">
                  <c:v>8.0545000000000047E-2</c:v>
                </c:pt>
                <c:pt idx="4">
                  <c:v>8.8890000000000247E-2</c:v>
                </c:pt>
                <c:pt idx="5">
                  <c:v>0.14672399999999999</c:v>
                </c:pt>
              </c:numCache>
            </c:numRef>
          </c:xVal>
          <c:yVal>
            <c:numRef>
              <c:f>Sheet1!$G$19:$G$24</c:f>
              <c:numCache>
                <c:formatCode>General</c:formatCode>
                <c:ptCount val="6"/>
                <c:pt idx="0">
                  <c:v>0</c:v>
                </c:pt>
                <c:pt idx="1">
                  <c:v>4198.0250000000024</c:v>
                </c:pt>
                <c:pt idx="2">
                  <c:v>5022.8810000000003</c:v>
                </c:pt>
                <c:pt idx="3">
                  <c:v>5307.6650000000054</c:v>
                </c:pt>
                <c:pt idx="4">
                  <c:v>5419.5290000000014</c:v>
                </c:pt>
                <c:pt idx="5">
                  <c:v>5812.2769999999991</c:v>
                </c:pt>
              </c:numCache>
            </c:numRef>
          </c:yVal>
          <c:smooth val="1"/>
        </c:ser>
        <c:axId val="117614848"/>
        <c:axId val="117621120"/>
      </c:scatterChart>
      <c:valAx>
        <c:axId val="117614848"/>
        <c:scaling>
          <c:orientation val="minMax"/>
          <c:max val="0.15000000000000024"/>
          <c:min val="0"/>
        </c:scaling>
        <c:axPos val="b"/>
        <c:title>
          <c:tx>
            <c:rich>
              <a:bodyPr/>
              <a:lstStyle/>
              <a:p>
                <a:pPr>
                  <a:defRPr lang="en-US" sz="1100" b="0"/>
                </a:pPr>
                <a:r>
                  <a:rPr lang="en-US" sz="1100" b="0">
                    <a:latin typeface="Times New Roman" pitchFamily="18" charset="0"/>
                    <a:cs typeface="Times New Roman" pitchFamily="18" charset="0"/>
                  </a:rPr>
                  <a:t>Displacement</a:t>
                </a:r>
                <a:r>
                  <a:rPr lang="en-US" sz="1100" b="0" baseline="0">
                    <a:latin typeface="Times New Roman" pitchFamily="18" charset="0"/>
                    <a:cs typeface="Times New Roman" pitchFamily="18" charset="0"/>
                  </a:rPr>
                  <a:t> m</a:t>
                </a:r>
                <a:endParaRPr lang="en-US" sz="1100" b="0">
                  <a:latin typeface="Times New Roman" pitchFamily="18" charset="0"/>
                  <a:cs typeface="Times New Roman" pitchFamily="18" charset="0"/>
                </a:endParaRPr>
              </a:p>
            </c:rich>
          </c:tx>
        </c:title>
        <c:numFmt formatCode="General" sourceLinked="1"/>
        <c:majorTickMark val="none"/>
        <c:tickLblPos val="nextTo"/>
        <c:txPr>
          <a:bodyPr/>
          <a:lstStyle/>
          <a:p>
            <a:pPr>
              <a:defRPr lang="en-US" sz="1050" b="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17621120"/>
        <c:crosses val="autoZero"/>
        <c:crossBetween val="midCat"/>
        <c:majorUnit val="2.0000000000000011E-2"/>
      </c:valAx>
      <c:valAx>
        <c:axId val="117621120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 lang="en-US" sz="1100" b="0"/>
                </a:pPr>
                <a:r>
                  <a:rPr lang="en-US" sz="1100" b="0">
                    <a:latin typeface="Times New Roman" pitchFamily="18" charset="0"/>
                    <a:cs typeface="Times New Roman" pitchFamily="18" charset="0"/>
                  </a:rPr>
                  <a:t>Base Shear kN</a:t>
                </a:r>
              </a:p>
            </c:rich>
          </c:tx>
          <c:layout>
            <c:manualLayout>
              <c:xMode val="edge"/>
              <c:yMode val="edge"/>
              <c:x val="0"/>
              <c:y val="0.25439186786637441"/>
            </c:manualLayout>
          </c:layout>
        </c:title>
        <c:numFmt formatCode="General" sourceLinked="1"/>
        <c:majorTickMark val="none"/>
        <c:tickLblPos val="nextTo"/>
        <c:txPr>
          <a:bodyPr/>
          <a:lstStyle/>
          <a:p>
            <a:pPr>
              <a:defRPr lang="en-US" sz="1050" b="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17614848"/>
        <c:crosses val="autoZero"/>
        <c:crossBetween val="midCat"/>
        <c:majorUnit val="1000"/>
      </c:valAx>
      <c:spPr>
        <a:noFill/>
        <a:ln w="25400">
          <a:noFill/>
        </a:ln>
      </c:spPr>
    </c:plotArea>
    <c:legend>
      <c:legendPos val="b"/>
      <c:legendEntry>
        <c:idx val="0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</c:legendEntry>
      <c:legendEntry>
        <c:idx val="2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</c:legendEntry>
      <c:legendEntry>
        <c:idx val="3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</c:legendEntry>
      <c:layout>
        <c:manualLayout>
          <c:xMode val="edge"/>
          <c:yMode val="edge"/>
          <c:x val="0.18915852542602254"/>
          <c:y val="6.183509131183583E-2"/>
          <c:w val="0.70906370850704536"/>
          <c:h val="7.1056219462849998E-2"/>
        </c:manualLayout>
      </c:layout>
      <c:txPr>
        <a:bodyPr/>
        <a:lstStyle/>
        <a:p>
          <a:pPr>
            <a:defRPr lang="en-US"/>
          </a:pPr>
          <a:endParaRPr lang="en-US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autoTitleDeleted val="1"/>
    <c:plotArea>
      <c:layout>
        <c:manualLayout>
          <c:layoutTarget val="inner"/>
          <c:xMode val="edge"/>
          <c:yMode val="edge"/>
          <c:x val="0.20097611299723156"/>
          <c:y val="8.8966267359113269E-2"/>
          <c:w val="0.58101321026408093"/>
          <c:h val="0.70167135020893456"/>
        </c:manualLayout>
      </c:layout>
      <c:scatterChart>
        <c:scatterStyle val="smoothMarker"/>
        <c:ser>
          <c:idx val="0"/>
          <c:order val="0"/>
          <c:tx>
            <c:v>C2G with out increase in stiffness</c:v>
          </c:tx>
          <c:marker>
            <c:symbol val="none"/>
          </c:marker>
          <c:xVal>
            <c:numRef>
              <c:f>Sheet1!$A$25:$A$31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</c:numCache>
            </c:numRef>
          </c:xVal>
          <c:yVal>
            <c:numRef>
              <c:f>Sheet1!$B$25:$B$31</c:f>
              <c:numCache>
                <c:formatCode>General</c:formatCode>
                <c:ptCount val="7"/>
                <c:pt idx="0">
                  <c:v>4.5600000000000013E-4</c:v>
                </c:pt>
                <c:pt idx="1">
                  <c:v>1.3974000000000007E-2</c:v>
                </c:pt>
                <c:pt idx="2">
                  <c:v>3.2273000000000093E-2</c:v>
                </c:pt>
                <c:pt idx="3">
                  <c:v>3.698400000000001E-2</c:v>
                </c:pt>
                <c:pt idx="4">
                  <c:v>4.2348000000000004E-2</c:v>
                </c:pt>
                <c:pt idx="5">
                  <c:v>4.2658000000000001E-2</c:v>
                </c:pt>
                <c:pt idx="6">
                  <c:v>-3.6068999999999997E-2</c:v>
                </c:pt>
              </c:numCache>
            </c:numRef>
          </c:yVal>
          <c:smooth val="1"/>
        </c:ser>
        <c:ser>
          <c:idx val="1"/>
          <c:order val="1"/>
          <c:tx>
            <c:v>C2G with increase in stiffness</c:v>
          </c:tx>
          <c:marker>
            <c:symbol val="none"/>
          </c:marker>
          <c:xVal>
            <c:numRef>
              <c:f>Sheet1!$G$4:$G$10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</c:numCache>
            </c:numRef>
          </c:xVal>
          <c:yVal>
            <c:numRef>
              <c:f>Sheet1!$H$4:$H$10</c:f>
              <c:numCache>
                <c:formatCode>General</c:formatCode>
                <c:ptCount val="7"/>
                <c:pt idx="0">
                  <c:v>5.0000000000000034E-4</c:v>
                </c:pt>
                <c:pt idx="1">
                  <c:v>1.7100000000000001E-2</c:v>
                </c:pt>
                <c:pt idx="2">
                  <c:v>4.36E-2</c:v>
                </c:pt>
                <c:pt idx="3">
                  <c:v>0.05</c:v>
                </c:pt>
                <c:pt idx="4">
                  <c:v>6.0600000000000001E-2</c:v>
                </c:pt>
                <c:pt idx="5">
                  <c:v>6.2000000000000034E-2</c:v>
                </c:pt>
                <c:pt idx="6">
                  <c:v>6.1900000000000004E-2</c:v>
                </c:pt>
              </c:numCache>
            </c:numRef>
          </c:yVal>
          <c:smooth val="1"/>
        </c:ser>
        <c:axId val="118032640"/>
        <c:axId val="118038912"/>
      </c:scatterChart>
      <c:valAx>
        <c:axId val="11803264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US" sz="1100" b="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sz="1100" b="0">
                    <a:latin typeface="Times New Roman" pitchFamily="18" charset="0"/>
                    <a:cs typeface="Times New Roman" pitchFamily="18" charset="0"/>
                  </a:rPr>
                  <a:t>Steps in the  push over analysis</a:t>
                </a:r>
              </a:p>
            </c:rich>
          </c:tx>
        </c:title>
        <c:numFmt formatCode="General" sourceLinked="1"/>
        <c:majorTickMark val="none"/>
        <c:tickLblPos val="nextTo"/>
        <c:txPr>
          <a:bodyPr/>
          <a:lstStyle/>
          <a:p>
            <a:pPr>
              <a:defRPr lang="en-US" sz="11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18038912"/>
        <c:crosses val="autoZero"/>
        <c:crossBetween val="midCat"/>
      </c:valAx>
      <c:valAx>
        <c:axId val="118038912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lang="en-US" sz="1100" b="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sz="1100" b="0">
                    <a:latin typeface="Times New Roman" pitchFamily="18" charset="0"/>
                    <a:cs typeface="Times New Roman" pitchFamily="18" charset="0"/>
                  </a:rPr>
                  <a:t>Displacement (mm)</a:t>
                </a:r>
              </a:p>
            </c:rich>
          </c:tx>
        </c:title>
        <c:numFmt formatCode="General" sourceLinked="1"/>
        <c:majorTickMark val="none"/>
        <c:tickLblPos val="nextTo"/>
        <c:txPr>
          <a:bodyPr/>
          <a:lstStyle/>
          <a:p>
            <a:pPr>
              <a:defRPr lang="en-US" sz="11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18032640"/>
        <c:crosses val="autoZero"/>
        <c:crossBetween val="midCat"/>
      </c:valAx>
    </c:plotArea>
    <c:legend>
      <c:legendPos val="r"/>
      <c:legendEntry>
        <c:idx val="0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</c:legendEntry>
      <c:layout>
        <c:manualLayout>
          <c:xMode val="edge"/>
          <c:yMode val="edge"/>
          <c:x val="0.64999075376004689"/>
          <c:y val="4.4485821883906505E-2"/>
          <c:w val="0.34722990310597091"/>
          <c:h val="0.71507868228010185"/>
        </c:manualLayout>
      </c:layout>
      <c:txPr>
        <a:bodyPr/>
        <a:lstStyle/>
        <a:p>
          <a:pPr>
            <a:defRPr lang="en-US"/>
          </a:pPr>
          <a:endParaRPr lang="en-US"/>
        </a:p>
      </c:txPr>
    </c:legend>
    <c:plotVisOnly val="1"/>
  </c:chart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328CE30A5E84F94927B1F02D508F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5C8F6-4E20-401B-8698-10369A95DF0B}"/>
      </w:docPartPr>
      <w:docPartBody>
        <w:p w:rsidR="00AC48E1" w:rsidRDefault="008139C8" w:rsidP="008139C8">
          <w:pPr>
            <w:pStyle w:val="C328CE30A5E84F94927B1F02D508F83F"/>
          </w:pPr>
          <w:r>
            <w:rPr>
              <w:color w:val="FFFFFF" w:themeColor="background1"/>
              <w:spacing w:val="60"/>
            </w:rPr>
            <w:t>[Type the company address]</w:t>
          </w:r>
        </w:p>
      </w:docPartBody>
    </w:docPart>
    <w:docPart>
      <w:docPartPr>
        <w:name w:val="99BCD11AA0B04BEF8760627DCEA5B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72700-1F07-4384-96C0-EC12C38379D6}"/>
      </w:docPartPr>
      <w:docPartBody>
        <w:p w:rsidR="00F71F6D" w:rsidRDefault="00AC48E1" w:rsidP="00AC48E1">
          <w:pPr>
            <w:pStyle w:val="99BCD11AA0B04BEF8760627DCEA5BDF8"/>
          </w:pPr>
          <w:r>
            <w:rPr>
              <w:color w:val="FFFFFF" w:themeColor="background1"/>
              <w:spacing w:val="60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Arial Unicode MS"/>
    <w:panose1 w:val="020B0503020000020004"/>
    <w:charset w:val="81"/>
    <w:family w:val="swiss"/>
    <w:pitch w:val="variable"/>
    <w:sig w:usb0="00000000" w:usb1="09D77CFB" w:usb2="00000012" w:usb3="00000000" w:csb0="00080001" w:csb1="00000000"/>
  </w:font>
  <w:font w:name="SymbolMT">
    <w:altName w:val="MS Mincho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139C8"/>
    <w:rsid w:val="0023717C"/>
    <w:rsid w:val="00550765"/>
    <w:rsid w:val="006C4797"/>
    <w:rsid w:val="008139C8"/>
    <w:rsid w:val="009B754B"/>
    <w:rsid w:val="00AC48E1"/>
    <w:rsid w:val="00AF296B"/>
    <w:rsid w:val="00BF336E"/>
    <w:rsid w:val="00F71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8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28CE30A5E84F94927B1F02D508F83F">
    <w:name w:val="C328CE30A5E84F94927B1F02D508F83F"/>
    <w:rsid w:val="008139C8"/>
  </w:style>
  <w:style w:type="paragraph" w:customStyle="1" w:styleId="2D239421060344E9B854E3EBE2BE90D6">
    <w:name w:val="2D239421060344E9B854E3EBE2BE90D6"/>
    <w:rsid w:val="008139C8"/>
  </w:style>
  <w:style w:type="paragraph" w:customStyle="1" w:styleId="99BCD11AA0B04BEF8760627DCEA5BDF8">
    <w:name w:val="99BCD11AA0B04BEF8760627DCEA5BDF8"/>
    <w:rsid w:val="00AC48E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www.ajer.org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1884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job</cp:lastModifiedBy>
  <cp:revision>2</cp:revision>
  <cp:lastPrinted>2012-12-27T11:58:00Z</cp:lastPrinted>
  <dcterms:created xsi:type="dcterms:W3CDTF">2013-12-09T09:20:00Z</dcterms:created>
  <dcterms:modified xsi:type="dcterms:W3CDTF">2013-12-09T09:20:00Z</dcterms:modified>
</cp:coreProperties>
</file>