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6135FD" w:rsidRDefault="006135FD" w:rsidP="006135FD">
      <w:pPr>
        <w:pStyle w:val="Title"/>
        <w:framePr w:w="0" w:hSpace="0" w:vSpace="0" w:wrap="auto" w:vAnchor="margin" w:hAnchor="text" w:xAlign="left" w:yAlign="inline"/>
        <w:jc w:val="right"/>
        <w:rPr>
          <w:b/>
          <w:sz w:val="28"/>
          <w:szCs w:val="28"/>
        </w:rPr>
      </w:pPr>
      <w:r w:rsidRPr="006135FD">
        <w:rPr>
          <w:b/>
          <w:sz w:val="28"/>
          <w:szCs w:val="28"/>
        </w:rPr>
        <w:t>American Journal of Engineering Research (AJER)</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e-ISSN : 2320-0847  p-ISSN : 2320-0936</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Volume-XX, Issue-XX, pp-XX-XX</w:t>
      </w:r>
    </w:p>
    <w:p w:rsidR="006135FD" w:rsidRDefault="006135FD" w:rsidP="006135FD">
      <w:pPr>
        <w:spacing w:after="0" w:line="240" w:lineRule="auto"/>
        <w:jc w:val="right"/>
        <w:rPr>
          <w:rFonts w:ascii="Times New Roman" w:hAnsi="Times New Roman" w:cs="Times New Roman"/>
          <w:sz w:val="28"/>
          <w:szCs w:val="28"/>
        </w:rPr>
      </w:pPr>
      <w:r w:rsidRPr="007749AA">
        <w:rPr>
          <w:rFonts w:ascii="Times New Roman" w:hAnsi="Times New Roman" w:cs="Times New Roman"/>
          <w:sz w:val="28"/>
          <w:szCs w:val="28"/>
        </w:rPr>
        <w:t>www.ajer.</w:t>
      </w:r>
      <w:r w:rsidR="00FA6D89">
        <w:rPr>
          <w:rFonts w:ascii="Times New Roman" w:hAnsi="Times New Roman" w:cs="Times New Roman"/>
          <w:sz w:val="28"/>
          <w:szCs w:val="28"/>
        </w:rPr>
        <w:t>org</w:t>
      </w:r>
    </w:p>
    <w:p w:rsidR="006135FD" w:rsidRDefault="006135FD" w:rsidP="006135FD">
      <w:pPr>
        <w:spacing w:after="0" w:line="240" w:lineRule="auto"/>
        <w:rPr>
          <w:rFonts w:ascii="Times New Roman" w:hAnsi="Times New Roman" w:cs="Times New Roman"/>
          <w:sz w:val="28"/>
          <w:szCs w:val="28"/>
        </w:rPr>
      </w:pPr>
    </w:p>
    <w:p w:rsidR="006135FD" w:rsidRPr="006135FD" w:rsidRDefault="006135FD" w:rsidP="006135FD">
      <w:pPr>
        <w:shd w:val="clear" w:color="auto" w:fill="DBE5F1" w:themeFill="accent1" w:themeFillTint="33"/>
        <w:spacing w:after="0" w:line="240" w:lineRule="auto"/>
        <w:rPr>
          <w:rFonts w:ascii="Times New Roman" w:hAnsi="Times New Roman" w:cs="Times New Roman"/>
          <w:sz w:val="28"/>
          <w:szCs w:val="28"/>
        </w:rPr>
      </w:pPr>
      <w:r>
        <w:rPr>
          <w:rFonts w:ascii="Times New Roman" w:hAnsi="Times New Roman" w:cs="Times New Roman"/>
          <w:sz w:val="28"/>
          <w:szCs w:val="28"/>
        </w:rPr>
        <w:t>Research Paper                                                                                   Open Access</w:t>
      </w:r>
    </w:p>
    <w:p w:rsidR="006135FD" w:rsidRPr="007749AA" w:rsidRDefault="006135FD" w:rsidP="00D94FF7">
      <w:pPr>
        <w:pStyle w:val="Title"/>
        <w:framePr w:w="0" w:hSpace="0" w:vSpace="0" w:wrap="auto" w:vAnchor="margin" w:hAnchor="text" w:xAlign="left" w:yAlign="inline"/>
        <w:rPr>
          <w:b/>
          <w:sz w:val="8"/>
          <w:szCs w:val="36"/>
        </w:rPr>
      </w:pPr>
    </w:p>
    <w:p w:rsidR="007749AA" w:rsidRPr="007749AA" w:rsidRDefault="007749AA" w:rsidP="007749AA">
      <w:pPr>
        <w:pBdr>
          <w:top w:val="thinThickThinSmallGap" w:sz="24" w:space="0" w:color="auto"/>
        </w:pBdr>
        <w:rPr>
          <w:sz w:val="6"/>
        </w:rPr>
      </w:pPr>
    </w:p>
    <w:p w:rsidR="001F6481" w:rsidRPr="004E58D9" w:rsidRDefault="001F6481" w:rsidP="001F6481">
      <w:pPr>
        <w:jc w:val="center"/>
        <w:rPr>
          <w:rFonts w:ascii="Times New Roman" w:hAnsi="Times New Roman" w:cs="Times New Roman"/>
          <w:b/>
          <w:sz w:val="32"/>
          <w:szCs w:val="32"/>
        </w:rPr>
      </w:pPr>
      <w:r w:rsidRPr="004E58D9">
        <w:rPr>
          <w:rFonts w:ascii="Times New Roman" w:hAnsi="Times New Roman" w:cs="Times New Roman"/>
          <w:b/>
          <w:sz w:val="32"/>
          <w:szCs w:val="32"/>
        </w:rPr>
        <w:t>Safe Vulcanisation System for Heat Resistant Natural Rubber Products for Engineering Applications</w:t>
      </w:r>
    </w:p>
    <w:p w:rsidR="001F6481" w:rsidRPr="004E58D9" w:rsidRDefault="001F6481" w:rsidP="00D94FF7">
      <w:pPr>
        <w:pStyle w:val="Authors"/>
        <w:framePr w:w="0" w:hSpace="0" w:vSpace="0" w:wrap="auto" w:vAnchor="margin" w:hAnchor="text" w:xAlign="left" w:yAlign="inline"/>
        <w:spacing w:after="0"/>
        <w:rPr>
          <w:sz w:val="24"/>
          <w:szCs w:val="24"/>
        </w:rPr>
      </w:pPr>
      <w:r w:rsidRPr="004E58D9">
        <w:rPr>
          <w:sz w:val="28"/>
          <w:szCs w:val="28"/>
        </w:rPr>
        <w:t>Abhitha K</w:t>
      </w:r>
      <w:r w:rsidRPr="004E58D9">
        <w:rPr>
          <w:sz w:val="28"/>
          <w:szCs w:val="28"/>
          <w:vertAlign w:val="superscript"/>
        </w:rPr>
        <w:t>1</w:t>
      </w:r>
      <w:r w:rsidRPr="004E58D9">
        <w:rPr>
          <w:sz w:val="28"/>
          <w:szCs w:val="28"/>
        </w:rPr>
        <w:t>., Thomas Kurian</w:t>
      </w:r>
      <w:r w:rsidRPr="004E58D9">
        <w:rPr>
          <w:sz w:val="24"/>
          <w:szCs w:val="24"/>
          <w:vertAlign w:val="superscript"/>
        </w:rPr>
        <w:t>2</w:t>
      </w:r>
    </w:p>
    <w:p w:rsidR="001F6481" w:rsidRPr="003C333E" w:rsidRDefault="003C333E" w:rsidP="001F6481">
      <w:pPr>
        <w:jc w:val="center"/>
        <w:rPr>
          <w:rFonts w:ascii="Times New Roman" w:hAnsi="Times New Roman"/>
          <w:i/>
          <w:sz w:val="20"/>
          <w:szCs w:val="20"/>
        </w:rPr>
      </w:pPr>
      <w:r w:rsidRPr="003C333E">
        <w:rPr>
          <w:rFonts w:ascii="Times New Roman" w:hAnsi="Times New Roman"/>
          <w:sz w:val="20"/>
          <w:szCs w:val="20"/>
          <w:vertAlign w:val="superscript"/>
        </w:rPr>
        <w:t>1, 2</w:t>
      </w:r>
      <w:r w:rsidRPr="003C333E">
        <w:rPr>
          <w:rFonts w:ascii="Times New Roman" w:hAnsi="Times New Roman"/>
          <w:sz w:val="20"/>
          <w:szCs w:val="20"/>
        </w:rPr>
        <w:t xml:space="preserve"> </w:t>
      </w:r>
      <w:r w:rsidR="001F6481" w:rsidRPr="003C333E">
        <w:rPr>
          <w:rFonts w:ascii="Times New Roman" w:hAnsi="Times New Roman"/>
          <w:i/>
          <w:sz w:val="20"/>
          <w:szCs w:val="20"/>
        </w:rPr>
        <w:t>(Department of Polymer Science and Rubber Technology, Cochin University of Science and Technology, Kochi – 682022, India)</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Received Manuscript: XX-XX-XXXX</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Accept Manuscript: XX-XX-XXXX</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Published Manuscript: XX-XX-XXXX</w:t>
      </w:r>
    </w:p>
    <w:p w:rsidR="00D94FF7" w:rsidRDefault="00D94FF7" w:rsidP="001D7625">
      <w:pPr>
        <w:pStyle w:val="Authors"/>
        <w:framePr w:w="0" w:hSpace="0" w:vSpace="0" w:wrap="auto" w:vAnchor="margin" w:hAnchor="text" w:xAlign="left" w:yAlign="inline"/>
        <w:spacing w:after="0"/>
        <w:rPr>
          <w:i/>
          <w:sz w:val="20"/>
          <w:szCs w:val="20"/>
        </w:rPr>
      </w:pPr>
    </w:p>
    <w:p w:rsidR="00E527E6" w:rsidRPr="00E527E6" w:rsidRDefault="00D94FF7" w:rsidP="004F5585">
      <w:pPr>
        <w:pStyle w:val="references"/>
        <w:numPr>
          <w:ilvl w:val="0"/>
          <w:numId w:val="0"/>
        </w:numPr>
        <w:spacing w:after="0" w:line="240" w:lineRule="auto"/>
        <w:rPr>
          <w:i/>
          <w:color w:val="000000"/>
          <w:sz w:val="20"/>
          <w:szCs w:val="20"/>
          <w:shd w:val="clear" w:color="auto" w:fill="FFFFFF"/>
        </w:rPr>
      </w:pPr>
      <w:r w:rsidRPr="00E55EF7">
        <w:rPr>
          <w:b/>
          <w:i/>
          <w:sz w:val="22"/>
          <w:szCs w:val="22"/>
          <w:lang w:val="fr-FR"/>
        </w:rPr>
        <w:t>ABSTRACT </w:t>
      </w:r>
      <w:r w:rsidRPr="00E527E6">
        <w:rPr>
          <w:b/>
          <w:i/>
          <w:sz w:val="20"/>
          <w:szCs w:val="20"/>
          <w:lang w:val="fr-FR"/>
        </w:rPr>
        <w:t xml:space="preserve">: </w:t>
      </w:r>
      <w:r w:rsidR="00E527E6" w:rsidRPr="00E527E6">
        <w:rPr>
          <w:i/>
          <w:sz w:val="20"/>
          <w:szCs w:val="20"/>
        </w:rPr>
        <w:t>Natural rubber is a very versatile material that has been successfully used in engineering applications for over a century. The rubber articles that are vulcanised using conventional accelerators such as tetra methyl thiuram disulphide (TMTD) are carcinogenic because of the production</w:t>
      </w:r>
      <w:r w:rsidR="00E527E6" w:rsidRPr="00E527E6">
        <w:rPr>
          <w:i/>
          <w:sz w:val="20"/>
          <w:szCs w:val="20"/>
          <w:lang w:val="sk-SK"/>
        </w:rPr>
        <w:t xml:space="preserve"> of nitrosamines (NA) during heating for the vulcanisation reaction.</w:t>
      </w:r>
      <w:r w:rsidR="00E527E6" w:rsidRPr="00E527E6">
        <w:rPr>
          <w:i/>
          <w:sz w:val="20"/>
          <w:szCs w:val="20"/>
        </w:rPr>
        <w:t xml:space="preserve"> The nitrosamine producing TMTD has to be replaced with a safe accelerator. Tetrabenzyl thiuramdisulphide (TBzTD) is reported to be a safe (non-</w:t>
      </w:r>
      <w:r w:rsidR="00E527E6" w:rsidRPr="00E527E6">
        <w:rPr>
          <w:i/>
          <w:sz w:val="20"/>
          <w:szCs w:val="20"/>
          <w:lang w:val="sk-SK"/>
        </w:rPr>
        <w:t>carcinogenic)</w:t>
      </w:r>
      <w:r w:rsidR="00E527E6" w:rsidRPr="00E527E6">
        <w:rPr>
          <w:i/>
          <w:sz w:val="20"/>
          <w:szCs w:val="20"/>
        </w:rPr>
        <w:t xml:space="preserve"> accelerator. An efficient vulcanization system has been selected to get heat and reversion resistance to the natural rubber vulcanisates during the long service life in engineering applications. Safe natural rubber vulcanisates have been prepared using TBzTD in an efficient vulcanisation system. </w:t>
      </w:r>
      <w:r w:rsidR="00E527E6" w:rsidRPr="00E527E6">
        <w:rPr>
          <w:i/>
          <w:sz w:val="20"/>
          <w:szCs w:val="20"/>
          <w:lang w:val="sk-SK"/>
        </w:rPr>
        <w:t>The vulcanisates prepared using the safe </w:t>
      </w:r>
      <w:r w:rsidR="00E527E6" w:rsidRPr="00E527E6">
        <w:rPr>
          <w:rStyle w:val="apple-converted-space"/>
          <w:rFonts w:eastAsia="MS Mincho"/>
          <w:i/>
          <w:sz w:val="20"/>
          <w:szCs w:val="20"/>
          <w:lang w:val="sk-SK"/>
        </w:rPr>
        <w:t>vulcanisation</w:t>
      </w:r>
      <w:r w:rsidR="00E527E6" w:rsidRPr="00E527E6">
        <w:rPr>
          <w:i/>
          <w:sz w:val="20"/>
          <w:szCs w:val="20"/>
          <w:lang w:val="sk-SK"/>
        </w:rPr>
        <w:t xml:space="preserve"> system shows</w:t>
      </w:r>
      <w:r w:rsidR="00E527E6" w:rsidRPr="00E527E6">
        <w:rPr>
          <w:rStyle w:val="apple-converted-space"/>
          <w:rFonts w:eastAsia="MS Mincho"/>
          <w:i/>
          <w:sz w:val="20"/>
          <w:szCs w:val="20"/>
          <w:lang w:val="sk-SK"/>
        </w:rPr>
        <w:t> </w:t>
      </w:r>
      <w:r w:rsidR="00E527E6" w:rsidRPr="00E527E6">
        <w:rPr>
          <w:i/>
          <w:sz w:val="20"/>
          <w:szCs w:val="20"/>
          <w:lang w:val="sk-SK"/>
        </w:rPr>
        <w:t>properties comparable to the vulcanisate prepared using</w:t>
      </w:r>
      <w:r w:rsidR="00E527E6" w:rsidRPr="00E527E6">
        <w:rPr>
          <w:rStyle w:val="apple-converted-space"/>
          <w:rFonts w:eastAsia="MS Mincho"/>
          <w:i/>
          <w:sz w:val="20"/>
          <w:szCs w:val="20"/>
          <w:lang w:val="sk-SK"/>
        </w:rPr>
        <w:t> </w:t>
      </w:r>
      <w:r w:rsidR="00E527E6" w:rsidRPr="00E527E6">
        <w:rPr>
          <w:i/>
          <w:sz w:val="20"/>
          <w:szCs w:val="20"/>
          <w:lang w:val="sk-SK"/>
        </w:rPr>
        <w:t>TMTD. </w:t>
      </w:r>
      <w:r w:rsidR="00E527E6" w:rsidRPr="00E527E6">
        <w:rPr>
          <w:rStyle w:val="apple-converted-space"/>
          <w:rFonts w:eastAsia="MS Mincho"/>
          <w:i/>
          <w:sz w:val="20"/>
          <w:szCs w:val="20"/>
          <w:lang w:val="sk-SK"/>
        </w:rPr>
        <w:t> </w:t>
      </w:r>
      <w:r w:rsidR="00E527E6" w:rsidRPr="00E527E6">
        <w:rPr>
          <w:i/>
          <w:sz w:val="20"/>
          <w:szCs w:val="20"/>
          <w:lang w:val="sk-SK"/>
        </w:rPr>
        <w:t>The compound containing TBzTD shows better scorch safety. The novel safe vulcanisate shows comparable</w:t>
      </w:r>
      <w:r w:rsidR="00E527E6" w:rsidRPr="00E527E6">
        <w:rPr>
          <w:rStyle w:val="apple-converted-space"/>
          <w:rFonts w:eastAsia="MS Mincho"/>
          <w:i/>
          <w:sz w:val="20"/>
          <w:szCs w:val="20"/>
          <w:lang w:val="sk-SK"/>
        </w:rPr>
        <w:t xml:space="preserve"> </w:t>
      </w:r>
      <w:r w:rsidR="00E527E6" w:rsidRPr="00E527E6">
        <w:rPr>
          <w:i/>
          <w:sz w:val="20"/>
          <w:szCs w:val="20"/>
          <w:lang w:val="sk-SK"/>
        </w:rPr>
        <w:t xml:space="preserve">crosslink density and improved aging resistance. The test results indicate that the TBzTD can be used as a safe accelarator for the manufacture of rubber products for </w:t>
      </w:r>
      <w:r w:rsidR="00E527E6" w:rsidRPr="00E527E6">
        <w:rPr>
          <w:i/>
          <w:color w:val="000000"/>
          <w:sz w:val="20"/>
          <w:szCs w:val="20"/>
          <w:shd w:val="clear" w:color="auto" w:fill="FFFFFF"/>
        </w:rPr>
        <w:t>general engineering functions such as shock, noise and vibration control.</w:t>
      </w:r>
    </w:p>
    <w:p w:rsidR="00E527E6" w:rsidRPr="002E59E8" w:rsidRDefault="00E527E6" w:rsidP="00E527E6">
      <w:pPr>
        <w:pStyle w:val="references"/>
        <w:numPr>
          <w:ilvl w:val="0"/>
          <w:numId w:val="0"/>
        </w:numPr>
        <w:spacing w:after="0" w:line="240" w:lineRule="auto"/>
        <w:ind w:left="360" w:hanging="360"/>
        <w:rPr>
          <w:color w:val="000000"/>
          <w:sz w:val="21"/>
          <w:szCs w:val="21"/>
          <w:shd w:val="clear" w:color="auto" w:fill="FFFFFF"/>
        </w:rPr>
      </w:pPr>
      <w:r w:rsidRPr="00763FD3">
        <w:rPr>
          <w:sz w:val="21"/>
          <w:szCs w:val="21"/>
          <w:lang w:val="sk-SK"/>
        </w:rPr>
        <w:t xml:space="preserve"> </w:t>
      </w:r>
      <w:r>
        <w:rPr>
          <w:sz w:val="21"/>
          <w:szCs w:val="21"/>
          <w:lang w:val="sk-SK"/>
        </w:rPr>
        <w:t xml:space="preserve"> </w:t>
      </w:r>
    </w:p>
    <w:p w:rsidR="00E208D6" w:rsidRPr="00144FFA" w:rsidRDefault="00D94FF7" w:rsidP="005F1292">
      <w:pPr>
        <w:pStyle w:val="Abstract"/>
        <w:spacing w:after="0" w:line="276" w:lineRule="auto"/>
        <w:ind w:firstLine="0"/>
        <w:rPr>
          <w:b w:val="0"/>
          <w:i/>
          <w:sz w:val="22"/>
          <w:szCs w:val="22"/>
          <w:u w:val="single"/>
          <w:lang w:val="sk-SK"/>
        </w:rPr>
      </w:pPr>
      <w:r w:rsidRPr="00E55EF7">
        <w:rPr>
          <w:i/>
          <w:iCs/>
          <w:sz w:val="22"/>
          <w:szCs w:val="22"/>
        </w:rPr>
        <w:t>Keywords</w:t>
      </w:r>
      <w:r w:rsidRPr="0078646D">
        <w:rPr>
          <w:i/>
          <w:lang w:val="fr-FR"/>
        </w:rPr>
        <w:t> </w:t>
      </w:r>
      <w:r w:rsidRPr="008E770E">
        <w:rPr>
          <w:i/>
          <w:iCs/>
        </w:rPr>
        <w:t>-</w:t>
      </w:r>
      <w:r w:rsidRPr="008E770E">
        <w:rPr>
          <w:i/>
          <w:iCs/>
          <w:sz w:val="20"/>
          <w:szCs w:val="20"/>
        </w:rPr>
        <w:t xml:space="preserve"> </w:t>
      </w:r>
      <w:r w:rsidR="00E208D6" w:rsidRPr="00144FFA">
        <w:rPr>
          <w:b w:val="0"/>
          <w:i/>
          <w:sz w:val="22"/>
          <w:szCs w:val="22"/>
          <w:lang w:val="sk-SK"/>
        </w:rPr>
        <w:t>binary accelerator</w:t>
      </w:r>
      <w:r w:rsidR="00E208D6">
        <w:rPr>
          <w:b w:val="0"/>
          <w:i/>
          <w:sz w:val="22"/>
          <w:szCs w:val="22"/>
          <w:lang w:val="sk-SK"/>
        </w:rPr>
        <w:t>,</w:t>
      </w:r>
      <w:r w:rsidR="00E208D6" w:rsidRPr="00144FFA">
        <w:rPr>
          <w:b w:val="0"/>
          <w:i/>
          <w:sz w:val="22"/>
          <w:szCs w:val="22"/>
          <w:lang w:val="sk-SK"/>
        </w:rPr>
        <w:t xml:space="preserve"> cross linking</w:t>
      </w:r>
      <w:r w:rsidR="00E208D6">
        <w:rPr>
          <w:b w:val="0"/>
          <w:i/>
          <w:sz w:val="22"/>
          <w:szCs w:val="22"/>
          <w:lang w:val="sk-SK"/>
        </w:rPr>
        <w:t xml:space="preserve">, </w:t>
      </w:r>
      <w:r w:rsidR="00E208D6" w:rsidRPr="00144FFA">
        <w:rPr>
          <w:b w:val="0"/>
          <w:i/>
          <w:sz w:val="22"/>
          <w:szCs w:val="22"/>
          <w:lang w:val="sk-SK"/>
        </w:rPr>
        <w:t xml:space="preserve">mechanical </w:t>
      </w:r>
      <w:r w:rsidR="005F1292" w:rsidRPr="00144FFA">
        <w:rPr>
          <w:b w:val="0"/>
          <w:i/>
          <w:sz w:val="22"/>
          <w:szCs w:val="22"/>
          <w:lang w:val="sk-SK"/>
        </w:rPr>
        <w:t>properties</w:t>
      </w:r>
      <w:r w:rsidR="005F1292">
        <w:rPr>
          <w:b w:val="0"/>
          <w:i/>
          <w:sz w:val="22"/>
          <w:szCs w:val="22"/>
          <w:lang w:val="sk-SK"/>
        </w:rPr>
        <w:t>, natural</w:t>
      </w:r>
      <w:r w:rsidR="00E208D6">
        <w:rPr>
          <w:b w:val="0"/>
          <w:i/>
          <w:sz w:val="22"/>
          <w:szCs w:val="22"/>
          <w:lang w:val="sk-SK"/>
        </w:rPr>
        <w:t xml:space="preserve"> rubber, nitrosamine.</w:t>
      </w:r>
      <w:r w:rsidR="00E208D6" w:rsidRPr="00144FFA">
        <w:rPr>
          <w:b w:val="0"/>
          <w:i/>
          <w:sz w:val="22"/>
          <w:szCs w:val="22"/>
          <w:lang w:val="sk-SK"/>
        </w:rPr>
        <w:t xml:space="preserve"> </w:t>
      </w:r>
    </w:p>
    <w:p w:rsidR="00D94FF7" w:rsidRPr="008E770E" w:rsidRDefault="00D94FF7" w:rsidP="00E527E6">
      <w:pPr>
        <w:pStyle w:val="Authors"/>
        <w:framePr w:w="0" w:hSpace="0" w:vSpace="0" w:wrap="auto" w:vAnchor="margin" w:hAnchor="text" w:xAlign="left" w:yAlign="inline"/>
        <w:jc w:val="both"/>
        <w:rPr>
          <w:i/>
          <w:iCs/>
          <w:lang w:val="fr-FR"/>
        </w:rPr>
      </w:pPr>
    </w:p>
    <w:p w:rsidR="00D94FF7" w:rsidRPr="005A73C2" w:rsidRDefault="003162DF" w:rsidP="003162DF">
      <w:pPr>
        <w:pStyle w:val="Heading1"/>
        <w:numPr>
          <w:ilvl w:val="0"/>
          <w:numId w:val="0"/>
        </w:numPr>
        <w:spacing w:before="0" w:after="0"/>
        <w:rPr>
          <w:b/>
          <w:bCs/>
          <w:sz w:val="22"/>
          <w:szCs w:val="22"/>
        </w:rPr>
      </w:pPr>
      <w:r>
        <w:rPr>
          <w:b/>
          <w:bCs/>
          <w:sz w:val="22"/>
          <w:szCs w:val="22"/>
        </w:rPr>
        <w:t>I</w:t>
      </w:r>
      <w:r w:rsidR="005F1292">
        <w:rPr>
          <w:b/>
          <w:bCs/>
          <w:sz w:val="22"/>
          <w:szCs w:val="22"/>
        </w:rPr>
        <w:t xml:space="preserve">. </w:t>
      </w:r>
      <w:r w:rsidR="00D94FF7" w:rsidRPr="005A73C2">
        <w:rPr>
          <w:b/>
          <w:bCs/>
          <w:sz w:val="22"/>
          <w:szCs w:val="22"/>
        </w:rPr>
        <w:t>I</w:t>
      </w:r>
      <w:r w:rsidR="005F1292" w:rsidRPr="005A73C2">
        <w:rPr>
          <w:b/>
          <w:bCs/>
          <w:sz w:val="22"/>
          <w:szCs w:val="22"/>
        </w:rPr>
        <w:t>ntroduction</w:t>
      </w:r>
    </w:p>
    <w:p w:rsidR="002B1EFC" w:rsidRPr="002B1EFC" w:rsidRDefault="002B1EFC" w:rsidP="004F5585">
      <w:pPr>
        <w:pStyle w:val="ListParagraph"/>
        <w:adjustRightInd w:val="0"/>
        <w:ind w:left="0"/>
        <w:jc w:val="both"/>
        <w:rPr>
          <w:rFonts w:ascii="Times New Roman" w:hAnsi="Times New Roman" w:cs="Times New Roman"/>
          <w:sz w:val="20"/>
          <w:szCs w:val="20"/>
        </w:rPr>
      </w:pPr>
      <w:r w:rsidRPr="002B1EFC">
        <w:rPr>
          <w:rFonts w:ascii="Times New Roman" w:hAnsi="Times New Roman" w:cs="Times New Roman"/>
          <w:sz w:val="20"/>
          <w:szCs w:val="20"/>
        </w:rPr>
        <w:t xml:space="preserve">Vulcanisation or curing is the insertion of a relatively small number of chemical cross links, by the addition of vulcanizing agents along the polymer chains to enable the strength and elastic properties inherent in raw rubber to be fully realized </w:t>
      </w:r>
      <w:r w:rsidR="004A522B">
        <w:rPr>
          <w:rFonts w:ascii="Times New Roman" w:hAnsi="Times New Roman" w:cs="Times New Roman"/>
          <w:sz w:val="20"/>
          <w:szCs w:val="20"/>
        </w:rPr>
        <w:t>[1]</w:t>
      </w:r>
      <w:r w:rsidRPr="002B1EFC">
        <w:rPr>
          <w:rFonts w:ascii="Times New Roman" w:hAnsi="Times New Roman" w:cs="Times New Roman"/>
          <w:sz w:val="20"/>
          <w:szCs w:val="20"/>
        </w:rPr>
        <w:t>. This is achieved when the compounded rubber is heated to an appropriate temperature. The first commercial method of cross linking has been attributed to Charles Goodyear in 1839</w:t>
      </w:r>
      <w:r w:rsidRPr="002B1EFC">
        <w:rPr>
          <w:rFonts w:ascii="Times New Roman" w:eastAsia="MS Mincho" w:hAnsi="Times New Roman" w:cs="Times New Roman"/>
          <w:sz w:val="20"/>
          <w:szCs w:val="20"/>
        </w:rPr>
        <w:t xml:space="preserve"> </w:t>
      </w:r>
      <w:r w:rsidR="004A522B">
        <w:rPr>
          <w:rFonts w:ascii="Times New Roman" w:eastAsia="MS Mincho" w:hAnsi="Times New Roman" w:cs="Times New Roman"/>
          <w:sz w:val="20"/>
          <w:szCs w:val="20"/>
        </w:rPr>
        <w:t>[2]</w:t>
      </w:r>
      <w:r w:rsidRPr="002B1EFC">
        <w:rPr>
          <w:rFonts w:ascii="Times New Roman" w:hAnsi="Times New Roman" w:cs="Times New Roman"/>
          <w:sz w:val="20"/>
          <w:szCs w:val="20"/>
        </w:rPr>
        <w:t xml:space="preserve"> who could improve the mechanical properties of natural rubber by heating after mixing with sulphur. Over the year’s three special types of sulphur vulcanisation systems such as efficient vulcanisation (EV) systems, semi efficient vulcanisation (SEV) systems, and conventional vulcanisation (CV) systems have been developed. </w:t>
      </w:r>
    </w:p>
    <w:p w:rsidR="00E55EF7" w:rsidRPr="00E55EF7" w:rsidRDefault="002B1EFC" w:rsidP="004F5585">
      <w:pPr>
        <w:spacing w:before="120"/>
        <w:ind w:firstLine="720"/>
        <w:jc w:val="both"/>
        <w:rPr>
          <w:rFonts w:ascii="Times New Roman" w:hAnsi="Times New Roman"/>
          <w:sz w:val="20"/>
          <w:szCs w:val="20"/>
        </w:rPr>
      </w:pPr>
      <w:r w:rsidRPr="002B1EFC">
        <w:rPr>
          <w:rFonts w:ascii="Times New Roman" w:hAnsi="Times New Roman" w:cs="Times New Roman"/>
          <w:sz w:val="20"/>
          <w:szCs w:val="20"/>
        </w:rPr>
        <w:t xml:space="preserve">EV systems are those where a low level of sulphur (0.3 – 0.8 phr) and a correspondingly high level of accelerator (6.0 – 2.0 phr) are used for achieving an extremely high heat and reversion resistance in the rubber vulcanisates </w:t>
      </w:r>
      <w:r w:rsidR="004A522B">
        <w:rPr>
          <w:rFonts w:ascii="Times New Roman" w:hAnsi="Times New Roman" w:cs="Times New Roman"/>
          <w:sz w:val="20"/>
          <w:szCs w:val="20"/>
        </w:rPr>
        <w:t>[1, 2, 3]</w:t>
      </w:r>
      <w:r w:rsidRPr="002B1EFC">
        <w:rPr>
          <w:rFonts w:ascii="Times New Roman" w:hAnsi="Times New Roman" w:cs="Times New Roman"/>
          <w:sz w:val="20"/>
          <w:szCs w:val="20"/>
        </w:rPr>
        <w:t xml:space="preserve">. In the CV systems, the sulphur dosage is high (2 – 3.5 phr) and correspondingly the accelerator level is low (1.0 - 0.4 phr). The CV systems provide better flex and dynamic properties but thermal and reversion resistance are poor. For optimum levels of mechanical and dynamic properties of vulcanisates </w:t>
      </w:r>
      <w:r w:rsidRPr="002B1EFC">
        <w:rPr>
          <w:rFonts w:ascii="Times New Roman" w:hAnsi="Times New Roman" w:cs="Times New Roman"/>
          <w:sz w:val="20"/>
          <w:szCs w:val="20"/>
        </w:rPr>
        <w:lastRenderedPageBreak/>
        <w:t>with intermediate heat and reversion resistance SEV systems with an intermediate level of accelerator (2.5 – 1.0 phr) and sulphur (1.0 – 1.8 phr) are employed</w:t>
      </w:r>
      <w:r w:rsidRPr="002B1EFC">
        <w:rPr>
          <w:rFonts w:ascii="Times New Roman" w:eastAsia="MS Mincho" w:hAnsi="Times New Roman" w:cs="Times New Roman"/>
          <w:sz w:val="20"/>
          <w:szCs w:val="20"/>
        </w:rPr>
        <w:t xml:space="preserve"> </w:t>
      </w:r>
      <w:r w:rsidR="007416CD">
        <w:rPr>
          <w:rFonts w:ascii="Times New Roman" w:eastAsia="MS Mincho" w:hAnsi="Times New Roman" w:cs="Times New Roman"/>
          <w:sz w:val="20"/>
          <w:szCs w:val="20"/>
        </w:rPr>
        <w:t>[1, 2]</w:t>
      </w:r>
      <w:r w:rsidRPr="002B1EFC">
        <w:rPr>
          <w:rFonts w:ascii="Times New Roman" w:hAnsi="Times New Roman" w:cs="Times New Roman"/>
          <w:sz w:val="20"/>
          <w:szCs w:val="20"/>
        </w:rPr>
        <w:t>.</w:t>
      </w:r>
      <w:r w:rsidR="009869D3">
        <w:rPr>
          <w:rFonts w:ascii="Times New Roman" w:hAnsi="Times New Roman" w:cs="Times New Roman"/>
          <w:sz w:val="20"/>
          <w:szCs w:val="20"/>
        </w:rPr>
        <w:t xml:space="preserve"> </w:t>
      </w:r>
      <w:r w:rsidR="00E55EF7" w:rsidRPr="00E55EF7">
        <w:rPr>
          <w:rFonts w:ascii="Times New Roman" w:hAnsi="Times New Roman"/>
          <w:sz w:val="20"/>
          <w:szCs w:val="20"/>
        </w:rPr>
        <w:t xml:space="preserve">In the vulcanisation reaction of elastomers, accelerators perform the important function of bringing down the time needed for vulcanisation. </w:t>
      </w:r>
    </w:p>
    <w:p w:rsidR="00E55EF7" w:rsidRPr="00E55EF7" w:rsidRDefault="00E55EF7" w:rsidP="004F5585">
      <w:pPr>
        <w:adjustRightInd w:val="0"/>
        <w:ind w:firstLine="720"/>
        <w:jc w:val="both"/>
        <w:rPr>
          <w:rFonts w:ascii="Times New Roman" w:hAnsi="Times New Roman"/>
          <w:sz w:val="20"/>
          <w:szCs w:val="20"/>
        </w:rPr>
      </w:pPr>
      <w:r w:rsidRPr="00E55EF7">
        <w:rPr>
          <w:rFonts w:ascii="Times New Roman" w:hAnsi="Times New Roman"/>
          <w:bCs/>
          <w:sz w:val="20"/>
          <w:szCs w:val="20"/>
        </w:rPr>
        <w:t>Over the last century or so, a large number of basic and specialty elastomers have been developed to meet a wide range of applications and operating environments. Their properties vary widely in terms of their elasticity, temperature range, strength, hardness, compatibility, environmental resistance, etc.</w:t>
      </w:r>
      <w:r w:rsidRPr="00E55EF7">
        <w:rPr>
          <w:rFonts w:ascii="Times New Roman" w:hAnsi="Times New Roman"/>
          <w:sz w:val="20"/>
          <w:szCs w:val="20"/>
        </w:rPr>
        <w:t xml:space="preserve"> Natural rubber is preferred in many products because of its superior building tack, green stock strength, and better processability, high strength in non-black formulations, hot tear resistance, retention of strength at elevated temperatures, better resilience, low heat build-up, fatigue resistance, and better dynamic properties </w:t>
      </w:r>
      <w:r w:rsidR="007416CD">
        <w:rPr>
          <w:rFonts w:ascii="Times New Roman" w:hAnsi="Times New Roman"/>
          <w:sz w:val="20"/>
          <w:szCs w:val="20"/>
        </w:rPr>
        <w:t>[4]</w:t>
      </w:r>
      <w:r w:rsidRPr="00E55EF7">
        <w:rPr>
          <w:rFonts w:ascii="Times New Roman" w:hAnsi="Times New Roman"/>
          <w:sz w:val="20"/>
          <w:szCs w:val="20"/>
        </w:rPr>
        <w:t>. Anti-vibration mountings, flexible couplings, bridge bearings, rail pads, power transmission and conveyer belts, rubber covered rollers, cable covering, automobile components, hoses, tubing, lining of tanks, extruded products, and components for domestic and industrial machinery are some of the industrial and engineering rubber products. Flooring, gloves, adhesive for pressure sensitive tapes, door/barrier mats and footwear are the familiar examples of household rubber products.</w:t>
      </w:r>
    </w:p>
    <w:p w:rsidR="00E55EF7" w:rsidRPr="00E55EF7" w:rsidRDefault="00F07059" w:rsidP="004F5585">
      <w:pPr>
        <w:ind w:firstLine="806"/>
        <w:jc w:val="both"/>
        <w:rPr>
          <w:rFonts w:ascii="Times New Roman" w:hAnsi="Times New Roman" w:cs="Times New Roman"/>
          <w:sz w:val="20"/>
          <w:szCs w:val="20"/>
        </w:rPr>
      </w:pPr>
      <w:r>
        <w:rPr>
          <w:rFonts w:ascii="Times New Roman" w:hAnsi="Times New Roman" w:cs="Times New Roman"/>
          <w:noProof/>
          <w:sz w:val="20"/>
          <w:szCs w:val="20"/>
          <w:lang w:val="en-IN" w:eastAsia="en-IN"/>
        </w:rPr>
        <w:pict>
          <v:shapetype id="_x0000_t32" coordsize="21600,21600" o:spt="32" o:oned="t" path="m,l21600,21600e" filled="f">
            <v:path arrowok="t" fillok="f" o:connecttype="none"/>
            <o:lock v:ext="edit" shapetype="t"/>
          </v:shapetype>
          <v:shape id="_x0000_s1026" type="#_x0000_t32" style="position:absolute;left:0;text-align:left;margin-left:372.2pt;margin-top:13.6pt;width:0;height:0;z-index:251660288;v-text-anchor:middle" o:connectortype="straight" strokecolor="red">
            <v:stroke endarrow="block"/>
          </v:shape>
        </w:pict>
      </w:r>
      <w:r w:rsidR="00E55EF7" w:rsidRPr="00E55EF7">
        <w:rPr>
          <w:rFonts w:ascii="Times New Roman" w:hAnsi="Times New Roman" w:cs="Times New Roman"/>
          <w:sz w:val="20"/>
          <w:szCs w:val="20"/>
        </w:rPr>
        <w:t>Nitrosamines are found in rubber articles that are vulcanised with very common traditional accelerators such as tetra methyl thiuram disulphide (TMT</w:t>
      </w:r>
      <w:r w:rsidR="00E20444">
        <w:rPr>
          <w:rFonts w:ascii="Times New Roman" w:hAnsi="Times New Roman" w:cs="Times New Roman"/>
          <w:sz w:val="20"/>
          <w:szCs w:val="20"/>
        </w:rPr>
        <w:t>D)</w:t>
      </w:r>
      <w:r w:rsidR="00893836">
        <w:rPr>
          <w:rFonts w:ascii="Times New Roman" w:hAnsi="Times New Roman" w:cs="Times New Roman"/>
          <w:sz w:val="20"/>
          <w:szCs w:val="20"/>
        </w:rPr>
        <w:t xml:space="preserve"> </w:t>
      </w:r>
      <w:r w:rsidR="00E20444">
        <w:rPr>
          <w:rFonts w:ascii="Times New Roman" w:hAnsi="Times New Roman" w:cs="Times New Roman"/>
          <w:sz w:val="20"/>
          <w:szCs w:val="20"/>
        </w:rPr>
        <w:t>[5]</w:t>
      </w:r>
      <w:r w:rsidR="00E55EF7" w:rsidRPr="00E55EF7">
        <w:rPr>
          <w:rFonts w:ascii="Times New Roman" w:hAnsi="Times New Roman" w:cs="Times New Roman"/>
          <w:sz w:val="20"/>
          <w:szCs w:val="20"/>
        </w:rPr>
        <w:t xml:space="preserve">. These vulcanisates have been tested positive as mutagens and are </w:t>
      </w:r>
      <w:r w:rsidR="00E20444">
        <w:rPr>
          <w:rFonts w:ascii="Times New Roman" w:hAnsi="Times New Roman" w:cs="Times New Roman"/>
          <w:sz w:val="20"/>
          <w:szCs w:val="20"/>
        </w:rPr>
        <w:t>carcinogenic</w:t>
      </w:r>
      <w:r w:rsidR="00893836">
        <w:rPr>
          <w:rFonts w:ascii="Times New Roman" w:hAnsi="Times New Roman" w:cs="Times New Roman"/>
          <w:sz w:val="20"/>
          <w:szCs w:val="20"/>
        </w:rPr>
        <w:t xml:space="preserve"> </w:t>
      </w:r>
      <w:r w:rsidR="00E20444">
        <w:rPr>
          <w:rFonts w:ascii="Times New Roman" w:hAnsi="Times New Roman" w:cs="Times New Roman"/>
          <w:sz w:val="20"/>
          <w:szCs w:val="20"/>
        </w:rPr>
        <w:t>[5,</w:t>
      </w:r>
      <w:r w:rsidR="004F5585">
        <w:rPr>
          <w:rFonts w:ascii="Times New Roman" w:hAnsi="Times New Roman" w:cs="Times New Roman"/>
          <w:sz w:val="20"/>
          <w:szCs w:val="20"/>
        </w:rPr>
        <w:t xml:space="preserve"> </w:t>
      </w:r>
      <w:r w:rsidR="00E20444">
        <w:rPr>
          <w:rFonts w:ascii="Times New Roman" w:hAnsi="Times New Roman" w:cs="Times New Roman"/>
          <w:sz w:val="20"/>
          <w:szCs w:val="20"/>
        </w:rPr>
        <w:t>6]</w:t>
      </w:r>
      <w:r w:rsidR="00E55EF7" w:rsidRPr="00E55EF7">
        <w:rPr>
          <w:rFonts w:ascii="Times New Roman" w:hAnsi="Times New Roman" w:cs="Times New Roman"/>
          <w:sz w:val="20"/>
          <w:szCs w:val="20"/>
        </w:rPr>
        <w:t>. Other accelerators and sulphur donors that form hazardous nitrosamines are tetra methyl thiuram monosulphide (TMTM), N- oxydiethylene dithiocarbamyl N</w:t>
      </w:r>
      <w:r w:rsidR="00E55EF7" w:rsidRPr="00E55EF7">
        <w:rPr>
          <w:rFonts w:ascii="Times New Roman" w:hAnsi="Times New Roman" w:cs="Times New Roman"/>
          <w:sz w:val="20"/>
          <w:szCs w:val="20"/>
          <w:vertAlign w:val="superscript"/>
        </w:rPr>
        <w:t>l</w:t>
      </w:r>
      <w:r w:rsidR="00E55EF7" w:rsidRPr="00E55EF7">
        <w:rPr>
          <w:rFonts w:ascii="Times New Roman" w:hAnsi="Times New Roman" w:cs="Times New Roman"/>
          <w:sz w:val="20"/>
          <w:szCs w:val="20"/>
        </w:rPr>
        <w:t xml:space="preserve">- oxydiethylene sulphenamide (OTOS) and N- oxydiethylene – 2- benzothiazole sulphenamide (MBS) </w:t>
      </w:r>
      <w:r w:rsidR="00E20444">
        <w:rPr>
          <w:rFonts w:ascii="Times New Roman" w:hAnsi="Times New Roman" w:cs="Times New Roman"/>
          <w:sz w:val="20"/>
          <w:szCs w:val="20"/>
        </w:rPr>
        <w:t>[7]</w:t>
      </w:r>
      <w:r w:rsidR="00E55EF7" w:rsidRPr="00E55EF7">
        <w:rPr>
          <w:rFonts w:ascii="Times New Roman" w:hAnsi="Times New Roman" w:cs="Times New Roman"/>
          <w:sz w:val="20"/>
          <w:szCs w:val="20"/>
        </w:rPr>
        <w:t>.  Nitrosamines are produced mostly during curing and post curing process of rubber. Nitrosamines are formed by the reaction of second</w:t>
      </w:r>
      <w:r w:rsidR="00E20444">
        <w:rPr>
          <w:rFonts w:ascii="Times New Roman" w:hAnsi="Times New Roman" w:cs="Times New Roman"/>
          <w:sz w:val="20"/>
          <w:szCs w:val="20"/>
        </w:rPr>
        <w:t>ary amines with nitrogen oxides</w:t>
      </w:r>
      <w:r w:rsidR="004F5585">
        <w:rPr>
          <w:rFonts w:ascii="Times New Roman" w:hAnsi="Times New Roman" w:cs="Times New Roman"/>
          <w:sz w:val="20"/>
          <w:szCs w:val="20"/>
        </w:rPr>
        <w:t xml:space="preserve"> </w:t>
      </w:r>
      <w:r w:rsidR="00E20444">
        <w:rPr>
          <w:rFonts w:ascii="Times New Roman" w:hAnsi="Times New Roman" w:cs="Times New Roman"/>
          <w:sz w:val="20"/>
          <w:szCs w:val="20"/>
        </w:rPr>
        <w:t>[8]</w:t>
      </w:r>
      <w:r w:rsidR="00E55EF7" w:rsidRPr="00E55EF7">
        <w:rPr>
          <w:rFonts w:ascii="Times New Roman" w:hAnsi="Times New Roman" w:cs="Times New Roman"/>
          <w:sz w:val="20"/>
          <w:szCs w:val="20"/>
        </w:rPr>
        <w:t xml:space="preserve"> as shown in the equation: </w:t>
      </w:r>
    </w:p>
    <w:p w:rsidR="00E55EF7" w:rsidRPr="00E55EF7" w:rsidRDefault="00F07059" w:rsidP="00D4435E">
      <w:pPr>
        <w:ind w:left="90"/>
        <w:jc w:val="center"/>
        <w:rPr>
          <w:rFonts w:ascii="Times New Roman" w:hAnsi="Times New Roman"/>
          <w:sz w:val="20"/>
          <w:szCs w:val="20"/>
        </w:rPr>
      </w:pPr>
      <w:r w:rsidRPr="00F07059">
        <w:rPr>
          <w:rFonts w:ascii="Times New Roman" w:hAnsi="Times New Roman"/>
          <w:sz w:val="20"/>
          <w:szCs w:val="20"/>
        </w:rPr>
        <w:pict>
          <v:shape id="_x0000_s1027" type="#_x0000_t32" style="position:absolute;left:0;text-align:left;margin-left:203.25pt;margin-top:6.55pt;width:38.25pt;height:.05pt;z-index:251662336" o:connectortype="straight">
            <v:stroke endarrow="block"/>
          </v:shape>
        </w:pict>
      </w:r>
      <w:r w:rsidR="00E55EF7" w:rsidRPr="00E55EF7">
        <w:rPr>
          <w:rFonts w:ascii="Times New Roman" w:hAnsi="Times New Roman"/>
          <w:sz w:val="20"/>
          <w:szCs w:val="20"/>
        </w:rPr>
        <w:t>RR</w:t>
      </w:r>
      <w:r w:rsidR="00E55EF7" w:rsidRPr="00E55EF7">
        <w:rPr>
          <w:rFonts w:ascii="Times New Roman" w:hAnsi="Times New Roman"/>
          <w:sz w:val="20"/>
          <w:szCs w:val="20"/>
          <w:vertAlign w:val="superscript"/>
        </w:rPr>
        <w:t>I</w:t>
      </w:r>
      <w:r w:rsidR="00E55EF7" w:rsidRPr="00E55EF7">
        <w:rPr>
          <w:rFonts w:ascii="Times New Roman" w:hAnsi="Times New Roman"/>
          <w:sz w:val="20"/>
          <w:szCs w:val="20"/>
        </w:rPr>
        <w:t>NH + N</w:t>
      </w:r>
      <w:r w:rsidR="00E55EF7" w:rsidRPr="00E55EF7">
        <w:rPr>
          <w:rFonts w:ascii="Times New Roman" w:hAnsi="Times New Roman"/>
          <w:sz w:val="20"/>
          <w:szCs w:val="20"/>
          <w:vertAlign w:val="subscript"/>
        </w:rPr>
        <w:t>2</w:t>
      </w:r>
      <w:r w:rsidR="00E55EF7" w:rsidRPr="00E55EF7">
        <w:rPr>
          <w:rFonts w:ascii="Times New Roman" w:hAnsi="Times New Roman"/>
          <w:sz w:val="20"/>
          <w:szCs w:val="20"/>
        </w:rPr>
        <w:t>O</w:t>
      </w:r>
      <w:r w:rsidR="00E55EF7" w:rsidRPr="00E55EF7">
        <w:rPr>
          <w:rFonts w:ascii="Times New Roman" w:hAnsi="Times New Roman"/>
          <w:sz w:val="20"/>
          <w:szCs w:val="20"/>
          <w:vertAlign w:val="subscript"/>
        </w:rPr>
        <w:t>3</w:t>
      </w:r>
      <w:r w:rsidR="00E55EF7" w:rsidRPr="00E55EF7">
        <w:rPr>
          <w:rFonts w:ascii="Times New Roman" w:hAnsi="Times New Roman"/>
          <w:sz w:val="20"/>
          <w:szCs w:val="20"/>
        </w:rPr>
        <w:t xml:space="preserve">              </w:t>
      </w:r>
      <w:r w:rsidR="00E55EF7">
        <w:rPr>
          <w:rFonts w:ascii="Times New Roman" w:hAnsi="Times New Roman"/>
          <w:sz w:val="20"/>
          <w:szCs w:val="20"/>
        </w:rPr>
        <w:tab/>
      </w:r>
      <w:r w:rsidR="00E55EF7" w:rsidRPr="00E55EF7">
        <w:rPr>
          <w:rFonts w:ascii="Times New Roman" w:hAnsi="Times New Roman"/>
          <w:sz w:val="20"/>
          <w:szCs w:val="20"/>
        </w:rPr>
        <w:t>RR</w:t>
      </w:r>
      <w:r w:rsidR="00E55EF7" w:rsidRPr="00E55EF7">
        <w:rPr>
          <w:rFonts w:ascii="Times New Roman" w:hAnsi="Times New Roman"/>
          <w:sz w:val="20"/>
          <w:szCs w:val="20"/>
          <w:vertAlign w:val="superscript"/>
        </w:rPr>
        <w:t>I</w:t>
      </w:r>
      <w:r w:rsidR="00E55EF7" w:rsidRPr="00E55EF7">
        <w:rPr>
          <w:rFonts w:ascii="Times New Roman" w:hAnsi="Times New Roman"/>
          <w:sz w:val="20"/>
          <w:szCs w:val="20"/>
        </w:rPr>
        <w:t>NNO + HNO</w:t>
      </w:r>
      <w:r w:rsidR="00E55EF7" w:rsidRPr="00E55EF7">
        <w:rPr>
          <w:rFonts w:ascii="Times New Roman" w:hAnsi="Times New Roman"/>
          <w:sz w:val="20"/>
          <w:szCs w:val="20"/>
          <w:vertAlign w:val="subscript"/>
        </w:rPr>
        <w:t>2</w:t>
      </w:r>
    </w:p>
    <w:p w:rsidR="00744D14" w:rsidRPr="00744D14" w:rsidRDefault="00744D14" w:rsidP="004F5585">
      <w:pPr>
        <w:ind w:firstLine="806"/>
        <w:jc w:val="both"/>
        <w:rPr>
          <w:rFonts w:ascii="Times New Roman" w:hAnsi="Times New Roman" w:cs="Times New Roman"/>
          <w:sz w:val="20"/>
          <w:szCs w:val="20"/>
        </w:rPr>
      </w:pPr>
      <w:r w:rsidRPr="00744D14">
        <w:rPr>
          <w:rFonts w:ascii="Times New Roman" w:hAnsi="Times New Roman" w:cs="Times New Roman"/>
          <w:sz w:val="20"/>
          <w:szCs w:val="20"/>
        </w:rPr>
        <w:t>Binary accelerator formulations involve the use of two different accelerators in the system, often leading to improved properties. In many cases a synergistic behaviour is observed leading to better vulcanisate properties in the combined system than expected by the rule of mixtures</w:t>
      </w:r>
      <w:r w:rsidR="004F5585">
        <w:rPr>
          <w:rFonts w:ascii="Times New Roman" w:hAnsi="Times New Roman" w:cs="Times New Roman"/>
          <w:sz w:val="20"/>
          <w:szCs w:val="20"/>
        </w:rPr>
        <w:t xml:space="preserve"> </w:t>
      </w:r>
      <w:r w:rsidR="00E20444">
        <w:rPr>
          <w:rFonts w:ascii="Times New Roman" w:eastAsia="MS Mincho" w:hAnsi="Times New Roman" w:cs="Times New Roman"/>
          <w:sz w:val="20"/>
          <w:szCs w:val="20"/>
        </w:rPr>
        <w:t>[9]</w:t>
      </w:r>
      <w:r w:rsidRPr="00744D14">
        <w:rPr>
          <w:rFonts w:ascii="Times New Roman" w:hAnsi="Times New Roman" w:cs="Times New Roman"/>
          <w:sz w:val="20"/>
          <w:szCs w:val="20"/>
        </w:rPr>
        <w:t>. Tetra benzyl thiuramdisulphide (TBzTD) which is not carcinogenic has been developed as a non-regulated or safe nitrosamine producing accelerator</w:t>
      </w:r>
      <w:r w:rsidR="00E20444">
        <w:rPr>
          <w:rFonts w:ascii="Times New Roman" w:eastAsia="MS Mincho" w:hAnsi="Times New Roman" w:cs="Times New Roman"/>
          <w:sz w:val="20"/>
          <w:szCs w:val="20"/>
        </w:rPr>
        <w:t xml:space="preserve"> [10]</w:t>
      </w:r>
      <w:r w:rsidRPr="00744D14">
        <w:rPr>
          <w:rFonts w:ascii="Times New Roman" w:hAnsi="Times New Roman" w:cs="Times New Roman"/>
          <w:sz w:val="20"/>
          <w:szCs w:val="20"/>
        </w:rPr>
        <w:t xml:space="preserve"> to replace thiurams such as TMTD. TBzTD is a fast curing accelerator in natural rubber and provides longer scorch times than TMTD </w:t>
      </w:r>
      <w:r w:rsidR="00E20444">
        <w:rPr>
          <w:rFonts w:ascii="Times New Roman" w:hAnsi="Times New Roman" w:cs="Times New Roman"/>
          <w:sz w:val="20"/>
          <w:szCs w:val="20"/>
        </w:rPr>
        <w:t>[11]</w:t>
      </w:r>
      <w:r w:rsidRPr="00744D14">
        <w:rPr>
          <w:rFonts w:ascii="Times New Roman" w:hAnsi="Times New Roman" w:cs="Times New Roman"/>
          <w:sz w:val="20"/>
          <w:szCs w:val="20"/>
        </w:rPr>
        <w:t>.</w:t>
      </w:r>
    </w:p>
    <w:p w:rsidR="00744D14" w:rsidRPr="00744D14" w:rsidRDefault="00744D14" w:rsidP="003F14E0">
      <w:pPr>
        <w:pStyle w:val="NoSpacing"/>
        <w:ind w:left="86" w:firstLine="720"/>
        <w:jc w:val="both"/>
        <w:rPr>
          <w:rFonts w:ascii="Times New Roman" w:hAnsi="Times New Roman"/>
          <w:sz w:val="20"/>
          <w:szCs w:val="20"/>
        </w:rPr>
      </w:pPr>
      <w:r w:rsidRPr="00744D14">
        <w:rPr>
          <w:rFonts w:ascii="Times New Roman" w:hAnsi="Times New Roman"/>
          <w:sz w:val="20"/>
          <w:szCs w:val="20"/>
        </w:rPr>
        <w:t>This paper reports the preliminary investigations on the effect of combinations of TBzTD and a primary amine based sulfenamide (tertiary butyl benzothiazole sulfenamide (TBBS)) as non – regulated safe binary accelerating system for the efficient vulcanisation of natural rubber.</w:t>
      </w:r>
    </w:p>
    <w:p w:rsidR="00D94FF7" w:rsidRDefault="00D94FF7" w:rsidP="005F1292">
      <w:pPr>
        <w:adjustRightInd w:val="0"/>
        <w:spacing w:after="0"/>
        <w:ind w:left="90"/>
        <w:jc w:val="both"/>
        <w:rPr>
          <w:rFonts w:ascii="Times New Roman" w:hAnsi="Times New Roman"/>
          <w:sz w:val="20"/>
          <w:szCs w:val="20"/>
        </w:rPr>
      </w:pPr>
    </w:p>
    <w:p w:rsidR="00D94FF7" w:rsidRDefault="003162DF" w:rsidP="003162DF">
      <w:pPr>
        <w:pStyle w:val="Heading1"/>
        <w:numPr>
          <w:ilvl w:val="0"/>
          <w:numId w:val="0"/>
        </w:numPr>
        <w:spacing w:before="0" w:after="0"/>
        <w:rPr>
          <w:b/>
          <w:sz w:val="22"/>
          <w:szCs w:val="22"/>
        </w:rPr>
      </w:pPr>
      <w:r>
        <w:rPr>
          <w:b/>
          <w:sz w:val="22"/>
          <w:szCs w:val="22"/>
        </w:rPr>
        <w:t>II</w:t>
      </w:r>
      <w:r w:rsidR="003F14E0">
        <w:rPr>
          <w:b/>
          <w:sz w:val="22"/>
          <w:szCs w:val="22"/>
        </w:rPr>
        <w:t xml:space="preserve">. </w:t>
      </w:r>
      <w:r w:rsidR="00744D14" w:rsidRPr="00744D14">
        <w:rPr>
          <w:b/>
          <w:sz w:val="22"/>
          <w:szCs w:val="22"/>
        </w:rPr>
        <w:t>Experimental Section</w:t>
      </w:r>
    </w:p>
    <w:p w:rsidR="00744D14" w:rsidRPr="00744D14" w:rsidRDefault="00744D14" w:rsidP="003F14E0">
      <w:pPr>
        <w:pStyle w:val="NoSpacing"/>
        <w:spacing w:line="276" w:lineRule="auto"/>
        <w:rPr>
          <w:rFonts w:ascii="Times New Roman" w:hAnsi="Times New Roman"/>
          <w:sz w:val="20"/>
          <w:szCs w:val="20"/>
        </w:rPr>
      </w:pPr>
      <w:r w:rsidRPr="00744D14">
        <w:rPr>
          <w:rFonts w:ascii="Times New Roman" w:hAnsi="Times New Roman"/>
          <w:sz w:val="20"/>
          <w:szCs w:val="20"/>
        </w:rPr>
        <w:t>2.1 Materials used</w:t>
      </w:r>
    </w:p>
    <w:p w:rsidR="00744D14" w:rsidRPr="007A03A1" w:rsidRDefault="00744D14" w:rsidP="003F14E0">
      <w:pPr>
        <w:pStyle w:val="NoSpacing"/>
        <w:ind w:left="90"/>
        <w:jc w:val="both"/>
        <w:rPr>
          <w:rFonts w:ascii="Times New Roman" w:hAnsi="Times New Roman"/>
          <w:sz w:val="20"/>
          <w:szCs w:val="20"/>
        </w:rPr>
      </w:pPr>
      <w:r w:rsidRPr="007A03A1">
        <w:rPr>
          <w:rFonts w:ascii="Times New Roman" w:hAnsi="Times New Roman"/>
          <w:sz w:val="20"/>
          <w:szCs w:val="20"/>
        </w:rPr>
        <w:t xml:space="preserve">Natural rubber (ISNR-5) used in this study was obtained from the Rubber Research Institute of India (Kottayam, Kerala). The antioxidant </w:t>
      </w:r>
      <w:r w:rsidRPr="007A03A1">
        <w:rPr>
          <w:rStyle w:val="Emphasis"/>
          <w:rFonts w:ascii="Times New Roman" w:hAnsi="Times New Roman"/>
          <w:i w:val="0"/>
          <w:sz w:val="20"/>
          <w:szCs w:val="20"/>
        </w:rPr>
        <w:t>N-(1,3-Dimethyl butyl)-N</w:t>
      </w:r>
      <w:r w:rsidRPr="007A03A1">
        <w:rPr>
          <w:rStyle w:val="Emphasis"/>
          <w:rFonts w:ascii="Times New Roman" w:hAnsi="Times New Roman"/>
          <w:i w:val="0"/>
          <w:sz w:val="20"/>
          <w:szCs w:val="20"/>
          <w:vertAlign w:val="superscript"/>
        </w:rPr>
        <w:t>1</w:t>
      </w:r>
      <w:r w:rsidRPr="007A03A1">
        <w:rPr>
          <w:rStyle w:val="Emphasis"/>
          <w:rFonts w:ascii="Times New Roman" w:hAnsi="Times New Roman"/>
          <w:i w:val="0"/>
          <w:sz w:val="20"/>
          <w:szCs w:val="20"/>
        </w:rPr>
        <w:t>-phenyl-p-phenylene</w:t>
      </w:r>
      <w:r w:rsidRPr="007A03A1">
        <w:rPr>
          <w:rStyle w:val="BalloonTextChar"/>
          <w:rFonts w:ascii="Times New Roman" w:eastAsia="Calibri" w:hAnsi="Times New Roman"/>
          <w:i/>
          <w:sz w:val="20"/>
          <w:szCs w:val="20"/>
        </w:rPr>
        <w:t xml:space="preserve"> </w:t>
      </w:r>
      <w:r w:rsidRPr="007A03A1">
        <w:rPr>
          <w:rStyle w:val="Emphasis"/>
          <w:rFonts w:ascii="Times New Roman" w:hAnsi="Times New Roman"/>
          <w:i w:val="0"/>
          <w:sz w:val="20"/>
          <w:szCs w:val="20"/>
        </w:rPr>
        <w:t>diamine i.e. 6PPD</w:t>
      </w:r>
      <w:r w:rsidRPr="007A03A1">
        <w:rPr>
          <w:rFonts w:ascii="Times New Roman" w:hAnsi="Times New Roman"/>
          <w:i/>
          <w:sz w:val="20"/>
          <w:szCs w:val="20"/>
        </w:rPr>
        <w:t xml:space="preserve">  </w:t>
      </w:r>
      <w:r w:rsidRPr="007A03A1">
        <w:rPr>
          <w:rFonts w:ascii="Times New Roman" w:hAnsi="Times New Roman"/>
          <w:sz w:val="20"/>
          <w:szCs w:val="20"/>
        </w:rPr>
        <w:t>(Mernox 6C), the accelerators TBBS (Mercure TBBS), TMTD (Mercure TMT) and TBzTD (Mercure TBzTD) were supplied by Merchem Ltd , Kochi, Kerala. The structure of TBzTD is:</w:t>
      </w:r>
    </w:p>
    <w:p w:rsidR="00744D14" w:rsidRDefault="00744D14" w:rsidP="003F14E0">
      <w:pPr>
        <w:pStyle w:val="NoSpacing"/>
        <w:ind w:left="90"/>
        <w:jc w:val="center"/>
        <w:rPr>
          <w:rFonts w:ascii="Times New Roman" w:hAnsi="Times New Roman"/>
          <w:noProof/>
          <w:sz w:val="20"/>
          <w:szCs w:val="20"/>
        </w:rPr>
      </w:pPr>
      <w:r w:rsidRPr="007A03A1">
        <w:rPr>
          <w:rFonts w:ascii="Times New Roman" w:hAnsi="Times New Roman"/>
          <w:noProof/>
          <w:sz w:val="20"/>
          <w:szCs w:val="20"/>
          <w:lang w:val="en-IN" w:eastAsia="en-IN"/>
        </w:rPr>
        <w:drawing>
          <wp:inline distT="0" distB="0" distL="0" distR="0">
            <wp:extent cx="1457325" cy="990600"/>
            <wp:effectExtent l="19050" t="0" r="9525" b="0"/>
            <wp:docPr id="1" name="Picture 1" descr="Tetrabenzylthiuramdisulfide, Tetrabenzylthiuram disulfide, Rubber Accelerator TBzTD, CAS #: 1059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trabenzylthiuramdisulfide, Tetrabenzylthiuram disulfide, Rubber Accelerator TBzTD, CAS #: 10591-85-2"/>
                    <pic:cNvPicPr>
                      <a:picLocks noChangeAspect="1" noChangeArrowheads="1"/>
                    </pic:cNvPicPr>
                  </pic:nvPicPr>
                  <pic:blipFill>
                    <a:blip r:embed="rId9"/>
                    <a:srcRect/>
                    <a:stretch>
                      <a:fillRect/>
                    </a:stretch>
                  </pic:blipFill>
                  <pic:spPr bwMode="auto">
                    <a:xfrm>
                      <a:off x="0" y="0"/>
                      <a:ext cx="1457325" cy="990600"/>
                    </a:xfrm>
                    <a:prstGeom prst="rect">
                      <a:avLst/>
                    </a:prstGeom>
                    <a:noFill/>
                    <a:ln w="9525">
                      <a:noFill/>
                      <a:miter lim="800000"/>
                      <a:headEnd/>
                      <a:tailEnd/>
                    </a:ln>
                  </pic:spPr>
                </pic:pic>
              </a:graphicData>
            </a:graphic>
          </wp:inline>
        </w:drawing>
      </w:r>
    </w:p>
    <w:p w:rsidR="007A03A1" w:rsidRPr="007A03A1" w:rsidRDefault="007A03A1" w:rsidP="003F14E0">
      <w:pPr>
        <w:pStyle w:val="NoSpacing"/>
        <w:ind w:left="90"/>
        <w:jc w:val="both"/>
        <w:rPr>
          <w:rFonts w:ascii="Times New Roman" w:hAnsi="Times New Roman"/>
          <w:sz w:val="20"/>
          <w:szCs w:val="20"/>
        </w:rPr>
      </w:pPr>
      <w:r w:rsidRPr="007A03A1">
        <w:rPr>
          <w:rFonts w:ascii="Times New Roman" w:hAnsi="Times New Roman"/>
          <w:sz w:val="20"/>
          <w:szCs w:val="20"/>
        </w:rPr>
        <w:t>Zinc oxide, stearic acid and sulphur were supplied from Associated Rubber Chemicals, Kochi.</w:t>
      </w:r>
    </w:p>
    <w:p w:rsidR="007A03A1" w:rsidRPr="007A03A1" w:rsidRDefault="007A03A1" w:rsidP="003F14E0">
      <w:pPr>
        <w:pStyle w:val="NoSpacing"/>
        <w:ind w:left="90"/>
        <w:rPr>
          <w:rFonts w:ascii="Times New Roman" w:hAnsi="Times New Roman"/>
          <w:noProof/>
          <w:sz w:val="20"/>
          <w:szCs w:val="20"/>
        </w:rPr>
      </w:pPr>
    </w:p>
    <w:p w:rsidR="007A03A1" w:rsidRPr="007A03A1" w:rsidRDefault="007A03A1" w:rsidP="003F14E0">
      <w:pPr>
        <w:pStyle w:val="NoSpacing"/>
        <w:ind w:left="90"/>
        <w:rPr>
          <w:rFonts w:ascii="Times New Roman" w:hAnsi="Times New Roman"/>
          <w:sz w:val="20"/>
          <w:szCs w:val="20"/>
        </w:rPr>
      </w:pPr>
      <w:r w:rsidRPr="007A03A1">
        <w:rPr>
          <w:rFonts w:ascii="Times New Roman" w:hAnsi="Times New Roman"/>
          <w:sz w:val="20"/>
          <w:szCs w:val="20"/>
        </w:rPr>
        <w:lastRenderedPageBreak/>
        <w:t>2.2 Compounding and testing</w:t>
      </w:r>
    </w:p>
    <w:p w:rsidR="007A03A1" w:rsidRPr="00144FFA" w:rsidRDefault="007A03A1" w:rsidP="003F14E0">
      <w:pPr>
        <w:pStyle w:val="NoSpacing"/>
        <w:ind w:left="90"/>
        <w:jc w:val="both"/>
        <w:rPr>
          <w:rFonts w:ascii="Times New Roman" w:hAnsi="Times New Roman"/>
        </w:rPr>
      </w:pPr>
      <w:r w:rsidRPr="007A03A1">
        <w:rPr>
          <w:rFonts w:ascii="Times New Roman" w:hAnsi="Times New Roman"/>
          <w:sz w:val="20"/>
          <w:szCs w:val="20"/>
        </w:rPr>
        <w:t xml:space="preserve">The formulations employed for the study are shown in </w:t>
      </w:r>
      <w:r w:rsidR="00466C2C">
        <w:rPr>
          <w:rFonts w:ascii="Times New Roman" w:hAnsi="Times New Roman"/>
          <w:sz w:val="20"/>
          <w:szCs w:val="20"/>
        </w:rPr>
        <w:t>Table</w:t>
      </w:r>
      <w:r w:rsidR="003F14E0">
        <w:rPr>
          <w:rFonts w:ascii="Times New Roman" w:hAnsi="Times New Roman"/>
          <w:sz w:val="20"/>
          <w:szCs w:val="20"/>
        </w:rPr>
        <w:t xml:space="preserve"> 1</w:t>
      </w:r>
      <w:r w:rsidRPr="007A03A1">
        <w:rPr>
          <w:rFonts w:ascii="Times New Roman" w:hAnsi="Times New Roman"/>
          <w:sz w:val="20"/>
          <w:szCs w:val="20"/>
        </w:rPr>
        <w:t xml:space="preserve">. The compounding of NR was done on a two roll open mill as per ASTM D 3184-89.The rheographs of the mixes and their cure characteristics were obtained using Rubber Processing Analyser.The test specimens were prepared by molding in an electrically heated hydraulic press at 150 </w:t>
      </w:r>
      <w:r w:rsidRPr="007A03A1">
        <w:rPr>
          <w:rFonts w:ascii="Times New Roman" w:hAnsi="Times New Roman"/>
          <w:sz w:val="20"/>
          <w:szCs w:val="20"/>
          <w:vertAlign w:val="superscript"/>
        </w:rPr>
        <w:t>o</w:t>
      </w:r>
      <w:r w:rsidRPr="007A03A1">
        <w:rPr>
          <w:rFonts w:ascii="Times New Roman" w:hAnsi="Times New Roman"/>
          <w:sz w:val="20"/>
          <w:szCs w:val="20"/>
        </w:rPr>
        <w:t xml:space="preserve">C for the optimum cure time. Tensile and tear strength were measured according to ASTM D 412 and ASTM D 624 respectively using a Shimadzu Universal Testing Machine, at a cross head speed of 500 mm/min. The ageing of the samples were done in a hot air oven at 70 </w:t>
      </w:r>
      <w:r w:rsidRPr="007A03A1">
        <w:rPr>
          <w:rFonts w:ascii="Times New Roman" w:hAnsi="Times New Roman"/>
          <w:sz w:val="20"/>
          <w:szCs w:val="20"/>
          <w:vertAlign w:val="superscript"/>
        </w:rPr>
        <w:t>o</w:t>
      </w:r>
      <w:r w:rsidRPr="007A03A1">
        <w:rPr>
          <w:rFonts w:ascii="Times New Roman" w:hAnsi="Times New Roman"/>
          <w:sz w:val="20"/>
          <w:szCs w:val="20"/>
        </w:rPr>
        <w:t xml:space="preserve">C and 100 </w:t>
      </w:r>
      <w:r w:rsidRPr="007A03A1">
        <w:rPr>
          <w:rFonts w:ascii="Times New Roman" w:hAnsi="Times New Roman"/>
          <w:sz w:val="20"/>
          <w:szCs w:val="20"/>
          <w:vertAlign w:val="superscript"/>
        </w:rPr>
        <w:t>o</w:t>
      </w:r>
      <w:r w:rsidRPr="007A03A1">
        <w:rPr>
          <w:rFonts w:ascii="Times New Roman" w:hAnsi="Times New Roman"/>
          <w:sz w:val="20"/>
          <w:szCs w:val="20"/>
        </w:rPr>
        <w:t>C for 24 hours according to ASTM D 572-99 to determine the influences of elevated temperature and time on tensile properties. The hardness (Shore A) of the samples was determined using Mitutoyo hardmatic hardness tester according to ASTM D 2240-03. Compression set at constant strain was measured according to ASTM D 395</w:t>
      </w:r>
      <w:r w:rsidRPr="00144FFA">
        <w:rPr>
          <w:rFonts w:ascii="Times New Roman" w:hAnsi="Times New Roman"/>
        </w:rPr>
        <w:t>.</w:t>
      </w:r>
    </w:p>
    <w:p w:rsidR="007A03A1" w:rsidRPr="007A03A1" w:rsidRDefault="007A03A1" w:rsidP="003F14E0">
      <w:pPr>
        <w:pStyle w:val="NoSpacing"/>
        <w:ind w:left="90"/>
        <w:jc w:val="both"/>
        <w:rPr>
          <w:rFonts w:ascii="Times New Roman" w:hAnsi="Times New Roman" w:cs="Times New Roman"/>
          <w:sz w:val="20"/>
          <w:szCs w:val="20"/>
        </w:rPr>
      </w:pPr>
      <w:r w:rsidRPr="007A03A1">
        <w:rPr>
          <w:rFonts w:ascii="Times New Roman" w:hAnsi="Times New Roman" w:cs="Times New Roman"/>
          <w:sz w:val="20"/>
          <w:szCs w:val="20"/>
        </w:rPr>
        <w:t xml:space="preserve">The flex resistances of the vulcanisates were determined using De Mattia flexing machine as per ASTM D 813-95. Rebound resilience was determined by vertical rebound method according to ASTM D 2632-01.The cross link densities of the vulcanisates were determined by the Flory- Rehner equation using the equilibrium swelling </w:t>
      </w:r>
      <w:r w:rsidR="00577196">
        <w:rPr>
          <w:rFonts w:ascii="Times New Roman" w:hAnsi="Times New Roman" w:cs="Times New Roman"/>
          <w:sz w:val="20"/>
          <w:szCs w:val="20"/>
        </w:rPr>
        <w:t>data [</w:t>
      </w:r>
      <w:r w:rsidR="00577196">
        <w:rPr>
          <w:rFonts w:ascii="Times New Roman" w:eastAsia="MS Mincho" w:hAnsi="Times New Roman" w:cs="Times New Roman"/>
          <w:sz w:val="20"/>
          <w:szCs w:val="20"/>
        </w:rPr>
        <w:t>12-16]</w:t>
      </w:r>
      <w:r w:rsidRPr="007A03A1">
        <w:rPr>
          <w:rFonts w:ascii="Times New Roman" w:hAnsi="Times New Roman" w:cs="Times New Roman"/>
          <w:sz w:val="20"/>
          <w:szCs w:val="20"/>
        </w:rPr>
        <w:t>.</w:t>
      </w:r>
    </w:p>
    <w:p w:rsidR="007A03A1" w:rsidRPr="00144FFA" w:rsidRDefault="007A03A1" w:rsidP="003F14E0">
      <w:pPr>
        <w:pStyle w:val="NoSpacing"/>
        <w:ind w:left="90"/>
        <w:jc w:val="center"/>
        <w:rPr>
          <w:rFonts w:ascii="Times New Roman" w:hAnsi="Times New Roman"/>
          <w:sz w:val="20"/>
          <w:szCs w:val="20"/>
        </w:rPr>
      </w:pPr>
      <w:r w:rsidRPr="0093060E">
        <w:rPr>
          <w:rFonts w:ascii="Times New Roman" w:hAnsi="Times New Roman"/>
          <w:sz w:val="20"/>
          <w:szCs w:val="20"/>
        </w:rPr>
        <w:t>Table1</w:t>
      </w:r>
      <w:r w:rsidRPr="00144FFA">
        <w:rPr>
          <w:rFonts w:ascii="Times New Roman" w:hAnsi="Times New Roman"/>
          <w:b/>
          <w:sz w:val="20"/>
          <w:szCs w:val="20"/>
        </w:rPr>
        <w:t xml:space="preserve">. </w:t>
      </w:r>
      <w:r w:rsidRPr="00144FFA">
        <w:rPr>
          <w:rFonts w:ascii="Times New Roman" w:hAnsi="Times New Roman"/>
          <w:sz w:val="20"/>
          <w:szCs w:val="20"/>
        </w:rPr>
        <w:t>Formulation of mixes</w:t>
      </w:r>
    </w:p>
    <w:tbl>
      <w:tblPr>
        <w:tblpPr w:leftFromText="180" w:rightFromText="180" w:vertAnchor="text" w:horzAnchor="margin" w:tblpY="140"/>
        <w:tblW w:w="9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358"/>
        <w:gridCol w:w="1667"/>
        <w:gridCol w:w="1667"/>
        <w:gridCol w:w="1764"/>
        <w:gridCol w:w="1568"/>
      </w:tblGrid>
      <w:tr w:rsidR="0097281C" w:rsidRPr="0093060E" w:rsidTr="002C041D">
        <w:trPr>
          <w:trHeight w:val="56"/>
        </w:trPr>
        <w:tc>
          <w:tcPr>
            <w:tcW w:w="2358" w:type="dxa"/>
            <w:shd w:val="clear" w:color="auto" w:fill="FFFFFF"/>
            <w:vAlign w:val="center"/>
          </w:tcPr>
          <w:p w:rsidR="0097281C" w:rsidRPr="0093060E" w:rsidRDefault="0097281C" w:rsidP="0097281C">
            <w:pPr>
              <w:pStyle w:val="NoSpacing"/>
              <w:ind w:left="90"/>
              <w:jc w:val="center"/>
              <w:rPr>
                <w:rFonts w:ascii="Times New Roman" w:hAnsi="Times New Roman"/>
              </w:rPr>
            </w:pPr>
            <w:r w:rsidRPr="0093060E">
              <w:rPr>
                <w:rFonts w:ascii="Times New Roman" w:hAnsi="Times New Roman"/>
              </w:rPr>
              <w:t>Ingredients</w:t>
            </w:r>
          </w:p>
        </w:tc>
        <w:tc>
          <w:tcPr>
            <w:tcW w:w="1667" w:type="dxa"/>
            <w:shd w:val="clear" w:color="auto" w:fill="FFFFFF"/>
            <w:vAlign w:val="center"/>
          </w:tcPr>
          <w:p w:rsidR="0097281C" w:rsidRPr="0093060E" w:rsidRDefault="0097281C" w:rsidP="0097281C">
            <w:pPr>
              <w:pStyle w:val="NoSpacing"/>
              <w:ind w:left="90"/>
              <w:jc w:val="center"/>
              <w:rPr>
                <w:rFonts w:ascii="Times New Roman" w:hAnsi="Times New Roman"/>
              </w:rPr>
            </w:pPr>
            <w:r w:rsidRPr="0093060E">
              <w:rPr>
                <w:rFonts w:ascii="Times New Roman" w:hAnsi="Times New Roman"/>
              </w:rPr>
              <w:t>C</w:t>
            </w:r>
          </w:p>
        </w:tc>
        <w:tc>
          <w:tcPr>
            <w:tcW w:w="1667" w:type="dxa"/>
            <w:shd w:val="clear" w:color="auto" w:fill="FFFFFF"/>
            <w:vAlign w:val="center"/>
          </w:tcPr>
          <w:p w:rsidR="0097281C" w:rsidRPr="0093060E" w:rsidRDefault="0097281C" w:rsidP="0097281C">
            <w:pPr>
              <w:pStyle w:val="NoSpacing"/>
              <w:ind w:left="90"/>
              <w:jc w:val="center"/>
              <w:rPr>
                <w:rFonts w:ascii="Times New Roman" w:hAnsi="Times New Roman"/>
              </w:rPr>
            </w:pPr>
            <w:r w:rsidRPr="0093060E">
              <w:rPr>
                <w:rFonts w:ascii="Times New Roman" w:hAnsi="Times New Roman"/>
              </w:rPr>
              <w:t>C</w:t>
            </w:r>
            <w:r w:rsidRPr="0093060E">
              <w:rPr>
                <w:rFonts w:ascii="Times New Roman" w:hAnsi="Times New Roman"/>
                <w:vertAlign w:val="subscript"/>
              </w:rPr>
              <w:t>1</w:t>
            </w:r>
          </w:p>
        </w:tc>
        <w:tc>
          <w:tcPr>
            <w:tcW w:w="1764" w:type="dxa"/>
            <w:shd w:val="clear" w:color="auto" w:fill="FFFFFF"/>
            <w:vAlign w:val="center"/>
          </w:tcPr>
          <w:p w:rsidR="0097281C" w:rsidRPr="0093060E" w:rsidRDefault="0097281C" w:rsidP="0097281C">
            <w:pPr>
              <w:pStyle w:val="NoSpacing"/>
              <w:ind w:left="90"/>
              <w:jc w:val="center"/>
              <w:rPr>
                <w:rFonts w:ascii="Times New Roman" w:hAnsi="Times New Roman"/>
              </w:rPr>
            </w:pPr>
            <w:r w:rsidRPr="0093060E">
              <w:rPr>
                <w:rFonts w:ascii="Times New Roman" w:hAnsi="Times New Roman"/>
              </w:rPr>
              <w:t>C</w:t>
            </w:r>
            <w:r w:rsidRPr="0093060E">
              <w:rPr>
                <w:rFonts w:ascii="Times New Roman" w:hAnsi="Times New Roman"/>
                <w:vertAlign w:val="subscript"/>
              </w:rPr>
              <w:t>2</w:t>
            </w:r>
          </w:p>
        </w:tc>
        <w:tc>
          <w:tcPr>
            <w:tcW w:w="1568" w:type="dxa"/>
            <w:shd w:val="clear" w:color="auto" w:fill="FFFFFF"/>
            <w:vAlign w:val="center"/>
          </w:tcPr>
          <w:p w:rsidR="0097281C" w:rsidRPr="0093060E" w:rsidRDefault="0097281C" w:rsidP="0097281C">
            <w:pPr>
              <w:pStyle w:val="NoSpacing"/>
              <w:ind w:left="90"/>
              <w:jc w:val="center"/>
              <w:rPr>
                <w:rFonts w:ascii="Times New Roman" w:hAnsi="Times New Roman"/>
              </w:rPr>
            </w:pPr>
            <w:r w:rsidRPr="0093060E">
              <w:rPr>
                <w:rFonts w:ascii="Times New Roman" w:hAnsi="Times New Roman"/>
              </w:rPr>
              <w:t>C</w:t>
            </w:r>
            <w:r w:rsidRPr="0093060E">
              <w:rPr>
                <w:rFonts w:ascii="Times New Roman" w:hAnsi="Times New Roman"/>
                <w:vertAlign w:val="subscript"/>
              </w:rPr>
              <w:t>3</w:t>
            </w:r>
          </w:p>
        </w:tc>
      </w:tr>
      <w:tr w:rsidR="0097281C" w:rsidRPr="0044372C" w:rsidTr="002C041D">
        <w:trPr>
          <w:trHeight w:val="56"/>
        </w:trPr>
        <w:tc>
          <w:tcPr>
            <w:tcW w:w="2358"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NR (g)</w:t>
            </w:r>
          </w:p>
        </w:tc>
        <w:tc>
          <w:tcPr>
            <w:tcW w:w="1667"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100</w:t>
            </w:r>
          </w:p>
        </w:tc>
        <w:tc>
          <w:tcPr>
            <w:tcW w:w="1667"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100</w:t>
            </w:r>
          </w:p>
        </w:tc>
        <w:tc>
          <w:tcPr>
            <w:tcW w:w="1764"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100</w:t>
            </w:r>
          </w:p>
        </w:tc>
        <w:tc>
          <w:tcPr>
            <w:tcW w:w="1568"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100</w:t>
            </w:r>
          </w:p>
        </w:tc>
      </w:tr>
      <w:tr w:rsidR="0097281C" w:rsidRPr="0044372C" w:rsidTr="002C041D">
        <w:trPr>
          <w:trHeight w:val="56"/>
        </w:trPr>
        <w:tc>
          <w:tcPr>
            <w:tcW w:w="2358"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ZnO (phr)</w:t>
            </w:r>
          </w:p>
        </w:tc>
        <w:tc>
          <w:tcPr>
            <w:tcW w:w="1667"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5.0</w:t>
            </w:r>
          </w:p>
        </w:tc>
        <w:tc>
          <w:tcPr>
            <w:tcW w:w="1667"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5.0</w:t>
            </w:r>
          </w:p>
        </w:tc>
        <w:tc>
          <w:tcPr>
            <w:tcW w:w="1764"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5.0</w:t>
            </w:r>
          </w:p>
        </w:tc>
        <w:tc>
          <w:tcPr>
            <w:tcW w:w="1568"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5.0</w:t>
            </w:r>
          </w:p>
        </w:tc>
      </w:tr>
      <w:tr w:rsidR="0097281C" w:rsidRPr="0044372C" w:rsidTr="002C041D">
        <w:trPr>
          <w:trHeight w:val="56"/>
        </w:trPr>
        <w:tc>
          <w:tcPr>
            <w:tcW w:w="2358"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Stearic acid (phr)</w:t>
            </w:r>
          </w:p>
        </w:tc>
        <w:tc>
          <w:tcPr>
            <w:tcW w:w="1667"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2.0</w:t>
            </w:r>
          </w:p>
        </w:tc>
        <w:tc>
          <w:tcPr>
            <w:tcW w:w="1667"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2.0</w:t>
            </w:r>
          </w:p>
        </w:tc>
        <w:tc>
          <w:tcPr>
            <w:tcW w:w="1764"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2.0</w:t>
            </w:r>
          </w:p>
        </w:tc>
        <w:tc>
          <w:tcPr>
            <w:tcW w:w="1568"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2.0</w:t>
            </w:r>
          </w:p>
        </w:tc>
      </w:tr>
      <w:tr w:rsidR="0097281C" w:rsidRPr="0044372C" w:rsidTr="002C041D">
        <w:trPr>
          <w:trHeight w:val="56"/>
        </w:trPr>
        <w:tc>
          <w:tcPr>
            <w:tcW w:w="2358"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6PPD (phr)</w:t>
            </w:r>
          </w:p>
        </w:tc>
        <w:tc>
          <w:tcPr>
            <w:tcW w:w="1667"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1.0</w:t>
            </w:r>
          </w:p>
        </w:tc>
        <w:tc>
          <w:tcPr>
            <w:tcW w:w="1667"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1.0</w:t>
            </w:r>
          </w:p>
        </w:tc>
        <w:tc>
          <w:tcPr>
            <w:tcW w:w="1764"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1.0</w:t>
            </w:r>
          </w:p>
        </w:tc>
        <w:tc>
          <w:tcPr>
            <w:tcW w:w="1568"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1.0</w:t>
            </w:r>
          </w:p>
        </w:tc>
      </w:tr>
      <w:tr w:rsidR="0097281C" w:rsidRPr="0044372C" w:rsidTr="002C041D">
        <w:trPr>
          <w:trHeight w:val="56"/>
        </w:trPr>
        <w:tc>
          <w:tcPr>
            <w:tcW w:w="2358"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TBBS (phr)</w:t>
            </w:r>
          </w:p>
        </w:tc>
        <w:tc>
          <w:tcPr>
            <w:tcW w:w="1667"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1.5</w:t>
            </w:r>
          </w:p>
        </w:tc>
        <w:tc>
          <w:tcPr>
            <w:tcW w:w="1667"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1.5</w:t>
            </w:r>
          </w:p>
        </w:tc>
        <w:tc>
          <w:tcPr>
            <w:tcW w:w="1764"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1.5</w:t>
            </w:r>
          </w:p>
        </w:tc>
        <w:tc>
          <w:tcPr>
            <w:tcW w:w="1568"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1.5</w:t>
            </w:r>
          </w:p>
        </w:tc>
      </w:tr>
      <w:tr w:rsidR="0097281C" w:rsidRPr="0044372C" w:rsidTr="002C041D">
        <w:trPr>
          <w:trHeight w:val="56"/>
        </w:trPr>
        <w:tc>
          <w:tcPr>
            <w:tcW w:w="2358"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TMTD (phr)</w:t>
            </w:r>
          </w:p>
        </w:tc>
        <w:tc>
          <w:tcPr>
            <w:tcW w:w="1667"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2.0</w:t>
            </w:r>
          </w:p>
        </w:tc>
        <w:tc>
          <w:tcPr>
            <w:tcW w:w="1667"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w:t>
            </w:r>
          </w:p>
        </w:tc>
        <w:tc>
          <w:tcPr>
            <w:tcW w:w="1764"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w:t>
            </w:r>
          </w:p>
        </w:tc>
        <w:tc>
          <w:tcPr>
            <w:tcW w:w="1568"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w:t>
            </w:r>
          </w:p>
        </w:tc>
      </w:tr>
      <w:tr w:rsidR="0097281C" w:rsidRPr="0044372C" w:rsidTr="002C041D">
        <w:trPr>
          <w:trHeight w:val="53"/>
        </w:trPr>
        <w:tc>
          <w:tcPr>
            <w:tcW w:w="2358"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TBzTD (phr)</w:t>
            </w:r>
          </w:p>
        </w:tc>
        <w:tc>
          <w:tcPr>
            <w:tcW w:w="1667"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w:t>
            </w:r>
          </w:p>
        </w:tc>
        <w:tc>
          <w:tcPr>
            <w:tcW w:w="1667"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2.0</w:t>
            </w:r>
          </w:p>
        </w:tc>
        <w:tc>
          <w:tcPr>
            <w:tcW w:w="1764"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2.2</w:t>
            </w:r>
          </w:p>
        </w:tc>
        <w:tc>
          <w:tcPr>
            <w:tcW w:w="1568"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2.4</w:t>
            </w:r>
          </w:p>
        </w:tc>
      </w:tr>
      <w:tr w:rsidR="0097281C" w:rsidRPr="0044372C" w:rsidTr="002C041D">
        <w:trPr>
          <w:trHeight w:val="56"/>
        </w:trPr>
        <w:tc>
          <w:tcPr>
            <w:tcW w:w="2358"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Sulphur (phr)</w:t>
            </w:r>
          </w:p>
        </w:tc>
        <w:tc>
          <w:tcPr>
            <w:tcW w:w="1667"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0.3</w:t>
            </w:r>
          </w:p>
        </w:tc>
        <w:tc>
          <w:tcPr>
            <w:tcW w:w="1667"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0.3</w:t>
            </w:r>
          </w:p>
        </w:tc>
        <w:tc>
          <w:tcPr>
            <w:tcW w:w="1764"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0.3</w:t>
            </w:r>
          </w:p>
        </w:tc>
        <w:tc>
          <w:tcPr>
            <w:tcW w:w="1568" w:type="dxa"/>
            <w:vAlign w:val="center"/>
          </w:tcPr>
          <w:p w:rsidR="0097281C" w:rsidRPr="00144FFA" w:rsidRDefault="0097281C" w:rsidP="0097281C">
            <w:pPr>
              <w:pStyle w:val="NoSpacing"/>
              <w:ind w:left="90"/>
              <w:jc w:val="center"/>
              <w:rPr>
                <w:rFonts w:ascii="Times New Roman" w:hAnsi="Times New Roman"/>
              </w:rPr>
            </w:pPr>
            <w:r w:rsidRPr="00144FFA">
              <w:rPr>
                <w:rFonts w:ascii="Times New Roman" w:hAnsi="Times New Roman"/>
              </w:rPr>
              <w:t>0.3</w:t>
            </w:r>
          </w:p>
        </w:tc>
      </w:tr>
    </w:tbl>
    <w:p w:rsidR="002C041D" w:rsidRDefault="00577196" w:rsidP="002C041D">
      <w:pPr>
        <w:ind w:left="90"/>
        <w:rPr>
          <w:rFonts w:ascii="Calibri" w:eastAsia="Malgun Gothic" w:hAnsi="Calibri" w:cs="Arial"/>
          <w:b/>
          <w:spacing w:val="-6"/>
          <w:sz w:val="24"/>
          <w:szCs w:val="24"/>
          <w:lang w:val="tr-TR"/>
        </w:rPr>
      </w:pPr>
      <w:r>
        <w:rPr>
          <w:rFonts w:ascii="Calibri" w:eastAsia="Malgun Gothic" w:hAnsi="Calibri" w:cs="Arial"/>
          <w:b/>
          <w:spacing w:val="-6"/>
          <w:sz w:val="24"/>
          <w:szCs w:val="24"/>
          <w:lang w:val="tr-TR"/>
        </w:rPr>
        <w:tab/>
      </w:r>
      <w:r>
        <w:rPr>
          <w:rFonts w:ascii="Calibri" w:eastAsia="Malgun Gothic" w:hAnsi="Calibri" w:cs="Arial"/>
          <w:b/>
          <w:spacing w:val="-6"/>
          <w:sz w:val="24"/>
          <w:szCs w:val="24"/>
          <w:lang w:val="tr-TR"/>
        </w:rPr>
        <w:tab/>
      </w:r>
      <w:r>
        <w:rPr>
          <w:rFonts w:ascii="Calibri" w:eastAsia="Malgun Gothic" w:hAnsi="Calibri" w:cs="Arial"/>
          <w:b/>
          <w:spacing w:val="-6"/>
          <w:sz w:val="24"/>
          <w:szCs w:val="24"/>
          <w:lang w:val="tr-TR"/>
        </w:rPr>
        <w:tab/>
      </w:r>
    </w:p>
    <w:p w:rsidR="002A0AAD" w:rsidRPr="003162DF" w:rsidRDefault="003162DF" w:rsidP="003162DF">
      <w:pPr>
        <w:jc w:val="center"/>
        <w:rPr>
          <w:rFonts w:ascii="Times New Roman" w:hAnsi="Times New Roman" w:cs="Times New Roman"/>
          <w:b/>
        </w:rPr>
      </w:pPr>
      <w:r w:rsidRPr="003162DF">
        <w:rPr>
          <w:rFonts w:ascii="Times New Roman" w:eastAsia="Malgun Gothic" w:hAnsi="Times New Roman" w:cs="Times New Roman"/>
          <w:b/>
          <w:spacing w:val="-6"/>
          <w:lang w:val="tr-TR"/>
        </w:rPr>
        <w:t>III</w:t>
      </w:r>
      <w:r w:rsidR="002C041D" w:rsidRPr="003162DF">
        <w:rPr>
          <w:rFonts w:ascii="Times New Roman" w:eastAsia="Malgun Gothic" w:hAnsi="Times New Roman" w:cs="Times New Roman"/>
          <w:b/>
          <w:spacing w:val="-6"/>
          <w:lang w:val="tr-TR"/>
        </w:rPr>
        <w:t>.</w:t>
      </w:r>
      <w:r>
        <w:rPr>
          <w:rFonts w:ascii="Times New Roman" w:eastAsia="Malgun Gothic" w:hAnsi="Times New Roman" w:cs="Times New Roman"/>
          <w:b/>
          <w:spacing w:val="-6"/>
          <w:lang w:val="tr-TR"/>
        </w:rPr>
        <w:t xml:space="preserve"> </w:t>
      </w:r>
      <w:r w:rsidR="002A0AAD" w:rsidRPr="003162DF">
        <w:rPr>
          <w:rFonts w:ascii="Times New Roman" w:eastAsia="Times New Roman" w:hAnsi="Times New Roman" w:cs="Times New Roman"/>
          <w:b/>
          <w:smallCaps/>
          <w:kern w:val="28"/>
        </w:rPr>
        <w:t>R</w:t>
      </w:r>
      <w:r w:rsidR="004428B2" w:rsidRPr="003162DF">
        <w:rPr>
          <w:rFonts w:ascii="Times New Roman" w:eastAsia="Times New Roman" w:hAnsi="Times New Roman" w:cs="Times New Roman"/>
          <w:b/>
          <w:smallCaps/>
          <w:kern w:val="28"/>
        </w:rPr>
        <w:t>esults and</w:t>
      </w:r>
      <w:r w:rsidR="002C041D" w:rsidRPr="003162DF">
        <w:rPr>
          <w:rFonts w:ascii="Times New Roman" w:eastAsia="Times New Roman" w:hAnsi="Times New Roman" w:cs="Times New Roman"/>
          <w:b/>
          <w:smallCaps/>
          <w:kern w:val="28"/>
        </w:rPr>
        <w:t xml:space="preserve"> D</w:t>
      </w:r>
      <w:r w:rsidR="004428B2" w:rsidRPr="003162DF">
        <w:rPr>
          <w:rFonts w:ascii="Times New Roman" w:eastAsia="Times New Roman" w:hAnsi="Times New Roman" w:cs="Times New Roman"/>
          <w:b/>
          <w:smallCaps/>
          <w:kern w:val="28"/>
        </w:rPr>
        <w:t>iscussion</w:t>
      </w:r>
    </w:p>
    <w:p w:rsidR="00630339" w:rsidRPr="00630339" w:rsidRDefault="00630339" w:rsidP="004428B2">
      <w:pPr>
        <w:rPr>
          <w:rFonts w:ascii="Times New Roman" w:hAnsi="Times New Roman" w:cs="Times New Roman"/>
          <w:sz w:val="20"/>
          <w:szCs w:val="20"/>
        </w:rPr>
      </w:pPr>
      <w:r w:rsidRPr="00630339">
        <w:rPr>
          <w:rFonts w:ascii="Times New Roman" w:hAnsi="Times New Roman" w:cs="Times New Roman"/>
          <w:sz w:val="20"/>
          <w:szCs w:val="20"/>
        </w:rPr>
        <w:t>3.1 Cure characteristics</w:t>
      </w:r>
    </w:p>
    <w:p w:rsidR="002A0AAD" w:rsidRPr="002A0AAD" w:rsidRDefault="002A0AAD" w:rsidP="004428B2">
      <w:pPr>
        <w:pStyle w:val="NoSpacing"/>
        <w:ind w:left="90"/>
        <w:jc w:val="both"/>
        <w:rPr>
          <w:rFonts w:ascii="Times New Roman" w:hAnsi="Times New Roman" w:cs="Times New Roman"/>
          <w:sz w:val="20"/>
          <w:szCs w:val="20"/>
        </w:rPr>
      </w:pPr>
      <w:r w:rsidRPr="002A0AAD">
        <w:rPr>
          <w:rFonts w:ascii="Times New Roman" w:hAnsi="Times New Roman" w:cs="Times New Roman"/>
          <w:sz w:val="20"/>
          <w:szCs w:val="20"/>
        </w:rPr>
        <w:t xml:space="preserve">The rheographs of the mixes cured at 150 </w:t>
      </w:r>
      <w:r w:rsidRPr="002A0AAD">
        <w:rPr>
          <w:rFonts w:ascii="Times New Roman" w:hAnsi="Times New Roman" w:cs="Times New Roman"/>
          <w:sz w:val="20"/>
          <w:szCs w:val="20"/>
          <w:vertAlign w:val="superscript"/>
        </w:rPr>
        <w:t>o</w:t>
      </w:r>
      <w:r w:rsidRPr="002A0AAD">
        <w:rPr>
          <w:rFonts w:ascii="Times New Roman" w:hAnsi="Times New Roman" w:cs="Times New Roman"/>
          <w:sz w:val="20"/>
          <w:szCs w:val="20"/>
        </w:rPr>
        <w:t>C are shown in Fig. 1</w:t>
      </w:r>
      <w:r w:rsidRPr="002A0AAD">
        <w:rPr>
          <w:rFonts w:ascii="Times New Roman" w:hAnsi="Times New Roman" w:cs="Times New Roman"/>
          <w:b/>
          <w:sz w:val="20"/>
          <w:szCs w:val="20"/>
        </w:rPr>
        <w:t xml:space="preserve"> </w:t>
      </w:r>
      <w:r w:rsidRPr="002A0AAD">
        <w:rPr>
          <w:rFonts w:ascii="Times New Roman" w:hAnsi="Times New Roman" w:cs="Times New Roman"/>
          <w:sz w:val="20"/>
          <w:szCs w:val="20"/>
        </w:rPr>
        <w:t>and the optimum cure time and scorch time are shown in Table 2.The value of the scorch time of the compound containing 2.2 phr TBzTD ( mix C</w:t>
      </w:r>
      <w:r w:rsidRPr="002A0AAD">
        <w:rPr>
          <w:rFonts w:ascii="Times New Roman" w:hAnsi="Times New Roman" w:cs="Times New Roman"/>
          <w:sz w:val="20"/>
          <w:szCs w:val="20"/>
          <w:vertAlign w:val="subscript"/>
        </w:rPr>
        <w:t>2</w:t>
      </w:r>
      <w:r w:rsidRPr="002A0AAD">
        <w:rPr>
          <w:rFonts w:ascii="Times New Roman" w:hAnsi="Times New Roman" w:cs="Times New Roman"/>
          <w:sz w:val="20"/>
          <w:szCs w:val="20"/>
        </w:rPr>
        <w:t>) is almost the same as that of compound containing 2.0 phr TMTD (mix C). As the concentration of TBzTD increases from 2.0 (mix C</w:t>
      </w:r>
      <w:r w:rsidRPr="002A0AAD">
        <w:rPr>
          <w:rFonts w:ascii="Times New Roman" w:hAnsi="Times New Roman" w:cs="Times New Roman"/>
          <w:sz w:val="20"/>
          <w:szCs w:val="20"/>
          <w:vertAlign w:val="subscript"/>
        </w:rPr>
        <w:t>1</w:t>
      </w:r>
      <w:r w:rsidRPr="002A0AAD">
        <w:rPr>
          <w:rFonts w:ascii="Times New Roman" w:hAnsi="Times New Roman" w:cs="Times New Roman"/>
          <w:sz w:val="20"/>
          <w:szCs w:val="20"/>
        </w:rPr>
        <w:t>) to 2.4 (mix C</w:t>
      </w:r>
      <w:r w:rsidRPr="002A0AAD">
        <w:rPr>
          <w:rFonts w:ascii="Times New Roman" w:hAnsi="Times New Roman" w:cs="Times New Roman"/>
          <w:sz w:val="20"/>
          <w:szCs w:val="20"/>
          <w:vertAlign w:val="subscript"/>
        </w:rPr>
        <w:t>3</w:t>
      </w:r>
      <w:r w:rsidRPr="002A0AAD">
        <w:rPr>
          <w:rFonts w:ascii="Times New Roman" w:hAnsi="Times New Roman" w:cs="Times New Roman"/>
          <w:sz w:val="20"/>
          <w:szCs w:val="20"/>
        </w:rPr>
        <w:t>) the optimum cure time is reduced considerably. The optimum cure time of the mix C</w:t>
      </w:r>
      <w:r w:rsidRPr="002A0AAD">
        <w:rPr>
          <w:rFonts w:ascii="Times New Roman" w:hAnsi="Times New Roman" w:cs="Times New Roman"/>
          <w:sz w:val="20"/>
          <w:szCs w:val="20"/>
          <w:vertAlign w:val="subscript"/>
        </w:rPr>
        <w:t>2</w:t>
      </w:r>
      <w:r w:rsidRPr="002A0AAD">
        <w:rPr>
          <w:rFonts w:ascii="Times New Roman" w:hAnsi="Times New Roman" w:cs="Times New Roman"/>
          <w:sz w:val="20"/>
          <w:szCs w:val="20"/>
        </w:rPr>
        <w:t xml:space="preserve"> is low; therefore, more cross l</w:t>
      </w:r>
      <w:r w:rsidR="003E51C5">
        <w:rPr>
          <w:rFonts w:ascii="Times New Roman" w:hAnsi="Times New Roman" w:cs="Times New Roman"/>
          <w:sz w:val="20"/>
          <w:szCs w:val="20"/>
        </w:rPr>
        <w:t xml:space="preserve">inks are formed in shorter </w:t>
      </w:r>
      <w:r w:rsidR="00196013">
        <w:rPr>
          <w:rFonts w:ascii="Times New Roman" w:hAnsi="Times New Roman" w:cs="Times New Roman"/>
          <w:sz w:val="20"/>
          <w:szCs w:val="20"/>
        </w:rPr>
        <w:t>time [</w:t>
      </w:r>
      <w:r w:rsidR="003E51C5">
        <w:rPr>
          <w:rFonts w:ascii="Times New Roman" w:hAnsi="Times New Roman" w:cs="Times New Roman"/>
          <w:sz w:val="20"/>
          <w:szCs w:val="20"/>
        </w:rPr>
        <w:t>17]</w:t>
      </w:r>
      <w:r w:rsidRPr="002A0AAD">
        <w:rPr>
          <w:rFonts w:ascii="Times New Roman" w:hAnsi="Times New Roman" w:cs="Times New Roman"/>
          <w:sz w:val="20"/>
          <w:szCs w:val="20"/>
        </w:rPr>
        <w:t>. The Cure Rate Index (CRI) which is a measure of the speed with which the cure reaction is taking place, is given by the equation:</w:t>
      </w:r>
    </w:p>
    <w:p w:rsidR="002A0AAD" w:rsidRDefault="003E3854" w:rsidP="004428B2">
      <w:pPr>
        <w:ind w:left="90"/>
        <w:rPr>
          <w:rFonts w:ascii="Times New Roman" w:hAnsi="Times New Roman"/>
          <w:position w:val="-10"/>
        </w:rPr>
      </w:pPr>
      <w:r>
        <w:rPr>
          <w:rFonts w:ascii="Times New Roman" w:hAnsi="Times New Roman"/>
          <w:position w:val="-10"/>
        </w:rPr>
        <w:t xml:space="preserve">                                                  </w:t>
      </w:r>
      <w:r w:rsidR="004428B2" w:rsidRPr="004428B2">
        <w:rPr>
          <w:rFonts w:ascii="Times New Roman" w:hAnsi="Times New Roman"/>
          <w:position w:val="-10"/>
          <w:sz w:val="20"/>
          <w:szCs w:val="20"/>
        </w:rPr>
        <w:object w:dxaOrig="20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5pt" o:ole="">
            <v:imagedata r:id="rId10" o:title=""/>
          </v:shape>
          <o:OLEObject Type="Embed" ProgID="Equation.3" ShapeID="_x0000_i1025" DrawAspect="Content" ObjectID="_1449163974" r:id="rId11"/>
        </w:object>
      </w:r>
      <w:r w:rsidR="003E51C5">
        <w:rPr>
          <w:rFonts w:ascii="Times New Roman" w:hAnsi="Times New Roman"/>
          <w:position w:val="-10"/>
        </w:rPr>
        <w:t xml:space="preserve">    </w:t>
      </w:r>
    </w:p>
    <w:p w:rsidR="00B35240" w:rsidRDefault="00B35240" w:rsidP="004428B2">
      <w:pPr>
        <w:ind w:left="90"/>
        <w:rPr>
          <w:rFonts w:ascii="Times New Roman" w:hAnsi="Times New Roman"/>
        </w:rPr>
      </w:pPr>
      <w:r w:rsidRPr="00B35240">
        <w:rPr>
          <w:rFonts w:ascii="Times New Roman" w:hAnsi="Times New Roman"/>
          <w:sz w:val="20"/>
          <w:szCs w:val="20"/>
        </w:rPr>
        <w:t>where t</w:t>
      </w:r>
      <w:r w:rsidRPr="00B35240">
        <w:rPr>
          <w:rFonts w:ascii="Times New Roman" w:hAnsi="Times New Roman"/>
          <w:sz w:val="20"/>
          <w:szCs w:val="20"/>
          <w:vertAlign w:val="subscript"/>
        </w:rPr>
        <w:t xml:space="preserve">90 </w:t>
      </w:r>
      <w:r w:rsidRPr="00B35240">
        <w:rPr>
          <w:rFonts w:ascii="Times New Roman" w:hAnsi="Times New Roman"/>
          <w:sz w:val="20"/>
          <w:szCs w:val="20"/>
        </w:rPr>
        <w:t>and</w:t>
      </w:r>
      <w:r w:rsidRPr="00B35240">
        <w:rPr>
          <w:rFonts w:ascii="Times New Roman" w:hAnsi="Times New Roman"/>
          <w:sz w:val="20"/>
          <w:szCs w:val="20"/>
          <w:vertAlign w:val="subscript"/>
        </w:rPr>
        <w:t xml:space="preserve"> </w:t>
      </w:r>
      <w:r w:rsidRPr="00B35240">
        <w:rPr>
          <w:rFonts w:ascii="Times New Roman" w:hAnsi="Times New Roman"/>
          <w:sz w:val="20"/>
          <w:szCs w:val="20"/>
        </w:rPr>
        <w:t>t</w:t>
      </w:r>
      <w:r w:rsidRPr="00B35240">
        <w:rPr>
          <w:rFonts w:ascii="Times New Roman" w:hAnsi="Times New Roman"/>
          <w:sz w:val="20"/>
          <w:szCs w:val="20"/>
          <w:vertAlign w:val="subscript"/>
        </w:rPr>
        <w:t xml:space="preserve">10 </w:t>
      </w:r>
      <w:r w:rsidRPr="00B35240">
        <w:rPr>
          <w:rFonts w:ascii="Times New Roman" w:hAnsi="Times New Roman"/>
          <w:sz w:val="20"/>
          <w:szCs w:val="20"/>
        </w:rPr>
        <w:t>are the optimum cure time and scorch time respectively. The CRI values increases with increasing concentration of TBzTD and shows high value for the mix C</w:t>
      </w:r>
      <w:r w:rsidRPr="00B35240">
        <w:rPr>
          <w:rFonts w:ascii="Times New Roman" w:hAnsi="Times New Roman"/>
          <w:sz w:val="20"/>
          <w:szCs w:val="20"/>
          <w:vertAlign w:val="subscript"/>
        </w:rPr>
        <w:t>2</w:t>
      </w:r>
      <w:r w:rsidRPr="00144FFA">
        <w:rPr>
          <w:rFonts w:ascii="Times New Roman" w:hAnsi="Times New Roman"/>
        </w:rPr>
        <w:t>.</w:t>
      </w:r>
    </w:p>
    <w:p w:rsidR="00545D88" w:rsidRDefault="00545D88" w:rsidP="00630339">
      <w:pPr>
        <w:pStyle w:val="Heading2"/>
        <w:numPr>
          <w:ilvl w:val="0"/>
          <w:numId w:val="0"/>
        </w:numPr>
        <w:spacing w:after="0" w:line="276" w:lineRule="auto"/>
        <w:ind w:left="288" w:firstLine="432"/>
        <w:jc w:val="both"/>
        <w:rPr>
          <w:i w:val="0"/>
        </w:rPr>
      </w:pPr>
    </w:p>
    <w:p w:rsidR="00B35240" w:rsidRPr="00144FFA" w:rsidRDefault="00B35240" w:rsidP="00B35240">
      <w:pPr>
        <w:rPr>
          <w:rFonts w:ascii="Times New Roman" w:hAnsi="Times New Roman"/>
        </w:rPr>
      </w:pPr>
    </w:p>
    <w:p w:rsidR="007B358E" w:rsidRPr="002A0AAD" w:rsidRDefault="00545D88" w:rsidP="002A0AAD">
      <w:pPr>
        <w:rPr>
          <w:sz w:val="20"/>
          <w:szCs w:val="20"/>
        </w:rPr>
      </w:pPr>
      <w:r>
        <w:rPr>
          <w:noProof/>
          <w:sz w:val="20"/>
          <w:szCs w:val="20"/>
          <w:lang w:val="en-IN" w:eastAsia="en-IN"/>
        </w:rPr>
        <w:lastRenderedPageBreak/>
        <w:drawing>
          <wp:inline distT="0" distB="0" distL="0" distR="0">
            <wp:extent cx="5732145" cy="2891436"/>
            <wp:effectExtent l="19050" t="0" r="190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
                    <a:srcRect/>
                    <a:stretch>
                      <a:fillRect/>
                    </a:stretch>
                  </pic:blipFill>
                  <pic:spPr bwMode="auto">
                    <a:xfrm>
                      <a:off x="0" y="0"/>
                      <a:ext cx="5732145" cy="2891436"/>
                    </a:xfrm>
                    <a:prstGeom prst="rect">
                      <a:avLst/>
                    </a:prstGeom>
                    <a:noFill/>
                    <a:ln w="9525">
                      <a:noFill/>
                      <a:miter lim="800000"/>
                      <a:headEnd/>
                      <a:tailEnd/>
                    </a:ln>
                  </pic:spPr>
                </pic:pic>
              </a:graphicData>
            </a:graphic>
          </wp:inline>
        </w:drawing>
      </w:r>
    </w:p>
    <w:p w:rsidR="00C90D50" w:rsidRPr="00144FFA" w:rsidRDefault="00C90D50" w:rsidP="00C90D50">
      <w:pPr>
        <w:pStyle w:val="Heading2"/>
        <w:numPr>
          <w:ilvl w:val="0"/>
          <w:numId w:val="0"/>
        </w:numPr>
        <w:spacing w:after="0" w:line="276" w:lineRule="auto"/>
        <w:ind w:left="144"/>
        <w:jc w:val="both"/>
        <w:rPr>
          <w:i w:val="0"/>
        </w:rPr>
      </w:pPr>
      <w:r w:rsidRPr="00144FFA">
        <w:rPr>
          <w:i w:val="0"/>
        </w:rPr>
        <w:t>Fig</w:t>
      </w:r>
      <w:r w:rsidRPr="00144FFA">
        <w:t xml:space="preserve"> </w:t>
      </w:r>
      <w:r w:rsidRPr="00144FFA">
        <w:rPr>
          <w:i w:val="0"/>
        </w:rPr>
        <w:t>1.  Rheographs of the mixes cured at 150</w:t>
      </w:r>
      <w:r w:rsidRPr="00144FFA">
        <w:rPr>
          <w:i w:val="0"/>
          <w:vertAlign w:val="superscript"/>
        </w:rPr>
        <w:t>o</w:t>
      </w:r>
      <w:r w:rsidRPr="00144FFA">
        <w:rPr>
          <w:i w:val="0"/>
        </w:rPr>
        <w:t>C</w:t>
      </w:r>
    </w:p>
    <w:p w:rsidR="00B35240" w:rsidRDefault="00B35240" w:rsidP="00B35240">
      <w:pPr>
        <w:pStyle w:val="Heading1"/>
        <w:numPr>
          <w:ilvl w:val="0"/>
          <w:numId w:val="0"/>
        </w:numPr>
        <w:spacing w:before="0" w:after="0"/>
        <w:jc w:val="left"/>
        <w:rPr>
          <w:rFonts w:eastAsiaTheme="minorEastAsia" w:cstheme="minorBidi"/>
          <w:smallCaps w:val="0"/>
          <w:kern w:val="0"/>
        </w:rPr>
      </w:pPr>
    </w:p>
    <w:p w:rsidR="00545D88" w:rsidRPr="00144FFA" w:rsidRDefault="00545D88" w:rsidP="00545D88">
      <w:pPr>
        <w:ind w:firstLine="720"/>
        <w:jc w:val="center"/>
        <w:rPr>
          <w:rFonts w:ascii="Times New Roman" w:hAnsi="Times New Roman"/>
        </w:rPr>
      </w:pPr>
      <w:r w:rsidRPr="0064533B">
        <w:rPr>
          <w:rFonts w:ascii="Times New Roman" w:hAnsi="Times New Roman"/>
        </w:rPr>
        <w:t xml:space="preserve">Table 2. </w:t>
      </w:r>
      <w:r w:rsidR="00E84F9D" w:rsidRPr="00144FFA">
        <w:rPr>
          <w:rFonts w:ascii="Times New Roman" w:hAnsi="Times New Roman"/>
        </w:rPr>
        <w:t>Optimum cure</w:t>
      </w:r>
      <w:r w:rsidRPr="00144FFA">
        <w:rPr>
          <w:rFonts w:ascii="Times New Roman" w:hAnsi="Times New Roman"/>
        </w:rPr>
        <w:t xml:space="preserve"> time and scorch time of mixes cured at 150 </w:t>
      </w:r>
      <w:r w:rsidRPr="00144FFA">
        <w:rPr>
          <w:rFonts w:ascii="Times New Roman" w:hAnsi="Times New Roman"/>
          <w:vertAlign w:val="superscript"/>
        </w:rPr>
        <w:t>o</w:t>
      </w:r>
      <w:r>
        <w:rPr>
          <w:rFonts w:ascii="Times New Roman" w:hAnsi="Times New Roman"/>
          <w:vertAlign w:val="superscript"/>
        </w:rPr>
        <w:t xml:space="preserve"> </w:t>
      </w:r>
      <w:r w:rsidRPr="00144FFA">
        <w:rPr>
          <w:rFonts w:ascii="Times New Roman" w:hAnsi="Times New Roman"/>
        </w:rPr>
        <w:t>C</w:t>
      </w:r>
    </w:p>
    <w:tbl>
      <w:tblPr>
        <w:tblpPr w:leftFromText="180" w:rightFromText="180" w:vertAnchor="page" w:horzAnchor="margin" w:tblpY="7651"/>
        <w:tblW w:w="8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323"/>
        <w:gridCol w:w="1376"/>
        <w:gridCol w:w="1376"/>
        <w:gridCol w:w="1376"/>
        <w:gridCol w:w="1376"/>
      </w:tblGrid>
      <w:tr w:rsidR="00C90D50" w:rsidRPr="0044372C" w:rsidTr="00C90D50">
        <w:trPr>
          <w:trHeight w:val="21"/>
        </w:trPr>
        <w:tc>
          <w:tcPr>
            <w:tcW w:w="3323" w:type="dxa"/>
            <w:shd w:val="clear" w:color="auto" w:fill="FFFFFF"/>
            <w:vAlign w:val="center"/>
          </w:tcPr>
          <w:p w:rsidR="00C90D50" w:rsidRPr="00550756" w:rsidRDefault="00C90D50" w:rsidP="00C90D50">
            <w:pPr>
              <w:jc w:val="center"/>
              <w:rPr>
                <w:rFonts w:ascii="Times New Roman" w:hAnsi="Times New Roman"/>
                <w:sz w:val="20"/>
                <w:szCs w:val="20"/>
              </w:rPr>
            </w:pPr>
            <w:r w:rsidRPr="00550756">
              <w:rPr>
                <w:rFonts w:ascii="Times New Roman" w:hAnsi="Times New Roman"/>
                <w:sz w:val="20"/>
                <w:szCs w:val="20"/>
              </w:rPr>
              <w:t>Properties</w:t>
            </w:r>
          </w:p>
        </w:tc>
        <w:tc>
          <w:tcPr>
            <w:tcW w:w="1376" w:type="dxa"/>
            <w:shd w:val="clear" w:color="auto" w:fill="FFFFFF"/>
            <w:vAlign w:val="center"/>
          </w:tcPr>
          <w:p w:rsidR="00C90D50" w:rsidRPr="00550756" w:rsidRDefault="00C90D50" w:rsidP="00C90D50">
            <w:pPr>
              <w:jc w:val="center"/>
              <w:rPr>
                <w:rFonts w:ascii="Times New Roman" w:hAnsi="Times New Roman"/>
                <w:sz w:val="20"/>
                <w:szCs w:val="20"/>
              </w:rPr>
            </w:pPr>
            <w:r w:rsidRPr="00550756">
              <w:rPr>
                <w:rFonts w:ascii="Times New Roman" w:hAnsi="Times New Roman"/>
                <w:sz w:val="20"/>
                <w:szCs w:val="20"/>
              </w:rPr>
              <w:t>C</w:t>
            </w:r>
          </w:p>
        </w:tc>
        <w:tc>
          <w:tcPr>
            <w:tcW w:w="1376" w:type="dxa"/>
            <w:shd w:val="clear" w:color="auto" w:fill="FFFFFF"/>
            <w:vAlign w:val="center"/>
          </w:tcPr>
          <w:p w:rsidR="00C90D50" w:rsidRPr="00550756" w:rsidRDefault="00C90D50" w:rsidP="00C90D50">
            <w:pPr>
              <w:jc w:val="center"/>
              <w:rPr>
                <w:rFonts w:ascii="Times New Roman" w:hAnsi="Times New Roman"/>
                <w:sz w:val="20"/>
                <w:szCs w:val="20"/>
              </w:rPr>
            </w:pPr>
            <w:r w:rsidRPr="00550756">
              <w:rPr>
                <w:rFonts w:ascii="Times New Roman" w:hAnsi="Times New Roman"/>
                <w:sz w:val="20"/>
                <w:szCs w:val="20"/>
              </w:rPr>
              <w:t>C</w:t>
            </w:r>
            <w:r w:rsidRPr="00550756">
              <w:rPr>
                <w:rFonts w:ascii="Times New Roman" w:hAnsi="Times New Roman"/>
                <w:sz w:val="20"/>
                <w:szCs w:val="20"/>
                <w:vertAlign w:val="subscript"/>
              </w:rPr>
              <w:t>1</w:t>
            </w:r>
          </w:p>
        </w:tc>
        <w:tc>
          <w:tcPr>
            <w:tcW w:w="1376" w:type="dxa"/>
            <w:shd w:val="clear" w:color="auto" w:fill="FFFFFF"/>
            <w:vAlign w:val="center"/>
          </w:tcPr>
          <w:p w:rsidR="00C90D50" w:rsidRPr="00550756" w:rsidRDefault="00C90D50" w:rsidP="00C90D50">
            <w:pPr>
              <w:jc w:val="center"/>
              <w:rPr>
                <w:rFonts w:ascii="Times New Roman" w:hAnsi="Times New Roman"/>
                <w:sz w:val="20"/>
                <w:szCs w:val="20"/>
              </w:rPr>
            </w:pPr>
            <w:r w:rsidRPr="00550756">
              <w:rPr>
                <w:rFonts w:ascii="Times New Roman" w:hAnsi="Times New Roman"/>
                <w:sz w:val="20"/>
                <w:szCs w:val="20"/>
              </w:rPr>
              <w:t>C</w:t>
            </w:r>
            <w:r w:rsidRPr="00550756">
              <w:rPr>
                <w:rFonts w:ascii="Times New Roman" w:hAnsi="Times New Roman"/>
                <w:sz w:val="20"/>
                <w:szCs w:val="20"/>
                <w:vertAlign w:val="subscript"/>
              </w:rPr>
              <w:t>2</w:t>
            </w:r>
          </w:p>
        </w:tc>
        <w:tc>
          <w:tcPr>
            <w:tcW w:w="1376" w:type="dxa"/>
            <w:shd w:val="clear" w:color="auto" w:fill="FFFFFF"/>
            <w:vAlign w:val="center"/>
          </w:tcPr>
          <w:p w:rsidR="00C90D50" w:rsidRPr="00550756" w:rsidRDefault="00C90D50" w:rsidP="00C90D50">
            <w:pPr>
              <w:jc w:val="center"/>
              <w:rPr>
                <w:rFonts w:ascii="Times New Roman" w:hAnsi="Times New Roman"/>
                <w:sz w:val="20"/>
                <w:szCs w:val="20"/>
              </w:rPr>
            </w:pPr>
            <w:r w:rsidRPr="00550756">
              <w:rPr>
                <w:rFonts w:ascii="Times New Roman" w:hAnsi="Times New Roman"/>
                <w:sz w:val="20"/>
                <w:szCs w:val="20"/>
              </w:rPr>
              <w:t>C</w:t>
            </w:r>
            <w:r w:rsidRPr="00550756">
              <w:rPr>
                <w:rFonts w:ascii="Times New Roman" w:hAnsi="Times New Roman"/>
                <w:sz w:val="20"/>
                <w:szCs w:val="20"/>
                <w:vertAlign w:val="subscript"/>
              </w:rPr>
              <w:t>3</w:t>
            </w:r>
          </w:p>
        </w:tc>
      </w:tr>
      <w:tr w:rsidR="00C90D50" w:rsidRPr="0044372C" w:rsidTr="00C90D50">
        <w:trPr>
          <w:trHeight w:val="335"/>
        </w:trPr>
        <w:tc>
          <w:tcPr>
            <w:tcW w:w="3323" w:type="dxa"/>
            <w:vAlign w:val="center"/>
          </w:tcPr>
          <w:p w:rsidR="00C90D50" w:rsidRPr="00550756" w:rsidRDefault="00C90D50" w:rsidP="00C90D50">
            <w:pPr>
              <w:jc w:val="center"/>
              <w:rPr>
                <w:rFonts w:ascii="Times New Roman" w:hAnsi="Times New Roman"/>
                <w:sz w:val="20"/>
                <w:szCs w:val="20"/>
              </w:rPr>
            </w:pPr>
            <w:r w:rsidRPr="00550756">
              <w:rPr>
                <w:rFonts w:ascii="Times New Roman" w:hAnsi="Times New Roman"/>
                <w:sz w:val="20"/>
                <w:szCs w:val="20"/>
              </w:rPr>
              <w:t>Scorch Time t</w:t>
            </w:r>
            <w:r w:rsidRPr="00550756">
              <w:rPr>
                <w:rFonts w:ascii="Times New Roman" w:hAnsi="Times New Roman"/>
                <w:sz w:val="20"/>
                <w:szCs w:val="20"/>
                <w:vertAlign w:val="subscript"/>
              </w:rPr>
              <w:t>10</w:t>
            </w:r>
            <w:r w:rsidRPr="00550756">
              <w:rPr>
                <w:rFonts w:ascii="Times New Roman" w:hAnsi="Times New Roman"/>
                <w:sz w:val="20"/>
                <w:szCs w:val="20"/>
              </w:rPr>
              <w:t xml:space="preserve"> (min)</w:t>
            </w:r>
          </w:p>
        </w:tc>
        <w:tc>
          <w:tcPr>
            <w:tcW w:w="1376" w:type="dxa"/>
            <w:vAlign w:val="center"/>
          </w:tcPr>
          <w:p w:rsidR="00C90D50" w:rsidRPr="00550756" w:rsidRDefault="00C90D50" w:rsidP="00C90D50">
            <w:pPr>
              <w:jc w:val="center"/>
              <w:rPr>
                <w:rFonts w:ascii="Times New Roman" w:hAnsi="Times New Roman"/>
                <w:sz w:val="20"/>
                <w:szCs w:val="20"/>
              </w:rPr>
            </w:pPr>
            <w:r w:rsidRPr="00550756">
              <w:rPr>
                <w:rFonts w:ascii="Times New Roman" w:hAnsi="Times New Roman"/>
                <w:sz w:val="20"/>
                <w:szCs w:val="20"/>
              </w:rPr>
              <w:t>2.96</w:t>
            </w:r>
          </w:p>
        </w:tc>
        <w:tc>
          <w:tcPr>
            <w:tcW w:w="1376" w:type="dxa"/>
            <w:vAlign w:val="center"/>
          </w:tcPr>
          <w:p w:rsidR="00C90D50" w:rsidRPr="00550756" w:rsidRDefault="00C90D50" w:rsidP="00C90D50">
            <w:pPr>
              <w:jc w:val="center"/>
              <w:rPr>
                <w:rFonts w:ascii="Times New Roman" w:hAnsi="Times New Roman"/>
                <w:sz w:val="20"/>
                <w:szCs w:val="20"/>
              </w:rPr>
            </w:pPr>
            <w:r w:rsidRPr="00550756">
              <w:rPr>
                <w:rFonts w:ascii="Times New Roman" w:hAnsi="Times New Roman"/>
                <w:sz w:val="20"/>
                <w:szCs w:val="20"/>
              </w:rPr>
              <w:t>5.10</w:t>
            </w:r>
          </w:p>
        </w:tc>
        <w:tc>
          <w:tcPr>
            <w:tcW w:w="1376" w:type="dxa"/>
            <w:vAlign w:val="center"/>
          </w:tcPr>
          <w:p w:rsidR="00C90D50" w:rsidRPr="00550756" w:rsidRDefault="00C90D50" w:rsidP="00C90D50">
            <w:pPr>
              <w:jc w:val="center"/>
              <w:rPr>
                <w:rFonts w:ascii="Times New Roman" w:hAnsi="Times New Roman"/>
                <w:sz w:val="20"/>
                <w:szCs w:val="20"/>
              </w:rPr>
            </w:pPr>
            <w:r w:rsidRPr="00550756">
              <w:rPr>
                <w:rFonts w:ascii="Times New Roman" w:hAnsi="Times New Roman"/>
                <w:sz w:val="20"/>
                <w:szCs w:val="20"/>
              </w:rPr>
              <w:t>2.89</w:t>
            </w:r>
          </w:p>
        </w:tc>
        <w:tc>
          <w:tcPr>
            <w:tcW w:w="1376" w:type="dxa"/>
            <w:vAlign w:val="center"/>
          </w:tcPr>
          <w:p w:rsidR="00C90D50" w:rsidRPr="00550756" w:rsidRDefault="00C90D50" w:rsidP="00C90D50">
            <w:pPr>
              <w:jc w:val="center"/>
              <w:rPr>
                <w:rFonts w:ascii="Times New Roman" w:hAnsi="Times New Roman"/>
                <w:sz w:val="20"/>
                <w:szCs w:val="20"/>
              </w:rPr>
            </w:pPr>
            <w:r w:rsidRPr="00550756">
              <w:rPr>
                <w:rFonts w:ascii="Times New Roman" w:hAnsi="Times New Roman"/>
                <w:sz w:val="20"/>
                <w:szCs w:val="20"/>
              </w:rPr>
              <w:t>4.95</w:t>
            </w:r>
          </w:p>
        </w:tc>
      </w:tr>
      <w:tr w:rsidR="00C90D50" w:rsidRPr="0044372C" w:rsidTr="00C90D50">
        <w:trPr>
          <w:trHeight w:val="307"/>
        </w:trPr>
        <w:tc>
          <w:tcPr>
            <w:tcW w:w="3323" w:type="dxa"/>
            <w:vAlign w:val="center"/>
          </w:tcPr>
          <w:p w:rsidR="00C90D50" w:rsidRPr="00550756" w:rsidRDefault="00C90D50" w:rsidP="00C90D50">
            <w:pPr>
              <w:jc w:val="center"/>
              <w:rPr>
                <w:rFonts w:ascii="Times New Roman" w:hAnsi="Times New Roman"/>
                <w:sz w:val="20"/>
                <w:szCs w:val="20"/>
              </w:rPr>
            </w:pPr>
            <w:r w:rsidRPr="00550756">
              <w:rPr>
                <w:rFonts w:ascii="Times New Roman" w:hAnsi="Times New Roman"/>
                <w:sz w:val="20"/>
                <w:szCs w:val="20"/>
              </w:rPr>
              <w:t>Optimum Cure Time t</w:t>
            </w:r>
            <w:r w:rsidRPr="00550756">
              <w:rPr>
                <w:rFonts w:ascii="Times New Roman" w:hAnsi="Times New Roman"/>
                <w:sz w:val="20"/>
                <w:szCs w:val="20"/>
                <w:vertAlign w:val="subscript"/>
              </w:rPr>
              <w:t>90</w:t>
            </w:r>
            <w:r w:rsidRPr="00550756">
              <w:rPr>
                <w:rFonts w:ascii="Times New Roman" w:hAnsi="Times New Roman"/>
                <w:sz w:val="20"/>
                <w:szCs w:val="20"/>
              </w:rPr>
              <w:t xml:space="preserve"> (min)</w:t>
            </w:r>
          </w:p>
        </w:tc>
        <w:tc>
          <w:tcPr>
            <w:tcW w:w="1376" w:type="dxa"/>
            <w:vAlign w:val="center"/>
          </w:tcPr>
          <w:p w:rsidR="00C90D50" w:rsidRPr="00550756" w:rsidRDefault="00C90D50" w:rsidP="00C90D50">
            <w:pPr>
              <w:jc w:val="center"/>
              <w:rPr>
                <w:rFonts w:ascii="Times New Roman" w:hAnsi="Times New Roman"/>
                <w:sz w:val="20"/>
                <w:szCs w:val="20"/>
              </w:rPr>
            </w:pPr>
            <w:r w:rsidRPr="00550756">
              <w:rPr>
                <w:rFonts w:ascii="Times New Roman" w:hAnsi="Times New Roman"/>
                <w:sz w:val="20"/>
                <w:szCs w:val="20"/>
              </w:rPr>
              <w:t>6.82</w:t>
            </w:r>
          </w:p>
        </w:tc>
        <w:tc>
          <w:tcPr>
            <w:tcW w:w="1376" w:type="dxa"/>
            <w:vAlign w:val="center"/>
          </w:tcPr>
          <w:p w:rsidR="00C90D50" w:rsidRPr="00550756" w:rsidRDefault="00C90D50" w:rsidP="00C90D50">
            <w:pPr>
              <w:jc w:val="center"/>
              <w:rPr>
                <w:rFonts w:ascii="Times New Roman" w:hAnsi="Times New Roman"/>
                <w:sz w:val="20"/>
                <w:szCs w:val="20"/>
              </w:rPr>
            </w:pPr>
            <w:r w:rsidRPr="00550756">
              <w:rPr>
                <w:rFonts w:ascii="Times New Roman" w:hAnsi="Times New Roman"/>
                <w:sz w:val="20"/>
                <w:szCs w:val="20"/>
              </w:rPr>
              <w:t>10.41</w:t>
            </w:r>
          </w:p>
        </w:tc>
        <w:tc>
          <w:tcPr>
            <w:tcW w:w="1376" w:type="dxa"/>
            <w:vAlign w:val="center"/>
          </w:tcPr>
          <w:p w:rsidR="00C90D50" w:rsidRPr="00550756" w:rsidRDefault="00C90D50" w:rsidP="00C90D50">
            <w:pPr>
              <w:jc w:val="center"/>
              <w:rPr>
                <w:rFonts w:ascii="Times New Roman" w:hAnsi="Times New Roman"/>
                <w:sz w:val="20"/>
                <w:szCs w:val="20"/>
              </w:rPr>
            </w:pPr>
            <w:r w:rsidRPr="00550756">
              <w:rPr>
                <w:rFonts w:ascii="Times New Roman" w:hAnsi="Times New Roman"/>
                <w:sz w:val="20"/>
                <w:szCs w:val="20"/>
              </w:rPr>
              <w:t>7.17</w:t>
            </w:r>
          </w:p>
        </w:tc>
        <w:tc>
          <w:tcPr>
            <w:tcW w:w="1376" w:type="dxa"/>
            <w:vAlign w:val="center"/>
          </w:tcPr>
          <w:p w:rsidR="00C90D50" w:rsidRPr="00550756" w:rsidRDefault="00C90D50" w:rsidP="00C90D50">
            <w:pPr>
              <w:jc w:val="center"/>
              <w:rPr>
                <w:rFonts w:ascii="Times New Roman" w:hAnsi="Times New Roman"/>
                <w:sz w:val="20"/>
                <w:szCs w:val="20"/>
              </w:rPr>
            </w:pPr>
            <w:r w:rsidRPr="00550756">
              <w:rPr>
                <w:rFonts w:ascii="Times New Roman" w:hAnsi="Times New Roman"/>
                <w:sz w:val="20"/>
                <w:szCs w:val="20"/>
              </w:rPr>
              <w:t>9.83</w:t>
            </w:r>
          </w:p>
        </w:tc>
      </w:tr>
      <w:tr w:rsidR="00C90D50" w:rsidRPr="0044372C" w:rsidTr="00C90D50">
        <w:trPr>
          <w:trHeight w:val="46"/>
        </w:trPr>
        <w:tc>
          <w:tcPr>
            <w:tcW w:w="3323" w:type="dxa"/>
            <w:vAlign w:val="center"/>
          </w:tcPr>
          <w:p w:rsidR="00C90D50" w:rsidRPr="00550756" w:rsidRDefault="00C90D50" w:rsidP="00C90D50">
            <w:pPr>
              <w:jc w:val="center"/>
              <w:rPr>
                <w:rFonts w:ascii="Times New Roman" w:hAnsi="Times New Roman"/>
                <w:sz w:val="20"/>
                <w:szCs w:val="20"/>
              </w:rPr>
            </w:pPr>
            <w:r w:rsidRPr="00550756">
              <w:rPr>
                <w:rFonts w:ascii="Times New Roman" w:hAnsi="Times New Roman"/>
                <w:sz w:val="20"/>
                <w:szCs w:val="20"/>
              </w:rPr>
              <w:t>Cure Rate Index (CRI)</w:t>
            </w:r>
          </w:p>
        </w:tc>
        <w:tc>
          <w:tcPr>
            <w:tcW w:w="1376" w:type="dxa"/>
            <w:vAlign w:val="center"/>
          </w:tcPr>
          <w:p w:rsidR="00C90D50" w:rsidRPr="00550756" w:rsidRDefault="00C90D50" w:rsidP="00C90D50">
            <w:pPr>
              <w:jc w:val="center"/>
              <w:rPr>
                <w:rFonts w:ascii="Times New Roman" w:hAnsi="Times New Roman"/>
                <w:sz w:val="20"/>
                <w:szCs w:val="20"/>
              </w:rPr>
            </w:pPr>
            <w:r w:rsidRPr="00550756">
              <w:rPr>
                <w:rFonts w:ascii="Times New Roman" w:hAnsi="Times New Roman"/>
                <w:sz w:val="20"/>
                <w:szCs w:val="20"/>
              </w:rPr>
              <w:t>25.91</w:t>
            </w:r>
          </w:p>
        </w:tc>
        <w:tc>
          <w:tcPr>
            <w:tcW w:w="1376" w:type="dxa"/>
            <w:vAlign w:val="center"/>
          </w:tcPr>
          <w:p w:rsidR="00C90D50" w:rsidRPr="00550756" w:rsidRDefault="00C90D50" w:rsidP="00C90D50">
            <w:pPr>
              <w:jc w:val="center"/>
              <w:rPr>
                <w:rFonts w:ascii="Times New Roman" w:hAnsi="Times New Roman"/>
                <w:sz w:val="20"/>
                <w:szCs w:val="20"/>
              </w:rPr>
            </w:pPr>
            <w:r w:rsidRPr="00550756">
              <w:rPr>
                <w:rFonts w:ascii="Times New Roman" w:hAnsi="Times New Roman"/>
                <w:sz w:val="20"/>
                <w:szCs w:val="20"/>
              </w:rPr>
              <w:t>18.83</w:t>
            </w:r>
          </w:p>
        </w:tc>
        <w:tc>
          <w:tcPr>
            <w:tcW w:w="1376" w:type="dxa"/>
            <w:vAlign w:val="center"/>
          </w:tcPr>
          <w:p w:rsidR="00C90D50" w:rsidRPr="00550756" w:rsidRDefault="00C90D50" w:rsidP="00C90D50">
            <w:pPr>
              <w:jc w:val="center"/>
              <w:rPr>
                <w:rFonts w:ascii="Times New Roman" w:hAnsi="Times New Roman"/>
                <w:sz w:val="20"/>
                <w:szCs w:val="20"/>
              </w:rPr>
            </w:pPr>
            <w:r w:rsidRPr="00550756">
              <w:rPr>
                <w:rFonts w:ascii="Times New Roman" w:hAnsi="Times New Roman"/>
                <w:sz w:val="20"/>
                <w:szCs w:val="20"/>
              </w:rPr>
              <w:t>23.36</w:t>
            </w:r>
          </w:p>
        </w:tc>
        <w:tc>
          <w:tcPr>
            <w:tcW w:w="1376" w:type="dxa"/>
            <w:vAlign w:val="center"/>
          </w:tcPr>
          <w:p w:rsidR="00C90D50" w:rsidRPr="00550756" w:rsidRDefault="00C90D50" w:rsidP="00C90D50">
            <w:pPr>
              <w:jc w:val="center"/>
              <w:rPr>
                <w:rFonts w:ascii="Times New Roman" w:hAnsi="Times New Roman"/>
                <w:sz w:val="20"/>
                <w:szCs w:val="20"/>
              </w:rPr>
            </w:pPr>
            <w:r w:rsidRPr="00550756">
              <w:rPr>
                <w:rFonts w:ascii="Times New Roman" w:hAnsi="Times New Roman"/>
                <w:sz w:val="20"/>
                <w:szCs w:val="20"/>
              </w:rPr>
              <w:t>20.49</w:t>
            </w:r>
          </w:p>
        </w:tc>
      </w:tr>
    </w:tbl>
    <w:p w:rsidR="00C90D50" w:rsidRDefault="00C90D50" w:rsidP="003E51C5">
      <w:pPr>
        <w:ind w:firstLine="720"/>
        <w:rPr>
          <w:rFonts w:ascii="Times New Roman" w:hAnsi="Times New Roman" w:cs="Times New Roman"/>
          <w:sz w:val="20"/>
          <w:szCs w:val="20"/>
        </w:rPr>
      </w:pPr>
    </w:p>
    <w:p w:rsidR="00AD7AB1" w:rsidRPr="006A4A97" w:rsidRDefault="006A4A97" w:rsidP="00550756">
      <w:pPr>
        <w:rPr>
          <w:rFonts w:ascii="Times New Roman" w:hAnsi="Times New Roman" w:cs="Times New Roman"/>
          <w:sz w:val="20"/>
          <w:szCs w:val="20"/>
        </w:rPr>
      </w:pPr>
      <w:r w:rsidRPr="006A4A97">
        <w:rPr>
          <w:rFonts w:ascii="Times New Roman" w:hAnsi="Times New Roman" w:cs="Times New Roman"/>
          <w:sz w:val="20"/>
          <w:szCs w:val="20"/>
        </w:rPr>
        <w:t>3.2 Mechanical properties</w:t>
      </w:r>
    </w:p>
    <w:p w:rsidR="006A4A97" w:rsidRPr="006A4A97" w:rsidRDefault="006A4A97" w:rsidP="00550756">
      <w:pPr>
        <w:pStyle w:val="NoSpacing"/>
        <w:jc w:val="both"/>
        <w:rPr>
          <w:rFonts w:ascii="Times New Roman" w:hAnsi="Times New Roman"/>
          <w:sz w:val="20"/>
          <w:szCs w:val="20"/>
        </w:rPr>
      </w:pPr>
      <w:r w:rsidRPr="006A4A97">
        <w:rPr>
          <w:rFonts w:ascii="Times New Roman" w:hAnsi="Times New Roman"/>
          <w:sz w:val="20"/>
          <w:szCs w:val="20"/>
        </w:rPr>
        <w:t>The stress - strain curves of the vulcanisate samples are shown in Fig. 2. Tensile properties of the samples are tabulated in Table 3. Tensile strength of the control vulcanisate C was found to be 17.43 MPa. The tensile strength values are in the order C</w:t>
      </w:r>
      <w:r w:rsidRPr="006A4A97">
        <w:rPr>
          <w:rFonts w:ascii="Times New Roman" w:hAnsi="Times New Roman"/>
          <w:sz w:val="20"/>
          <w:szCs w:val="20"/>
          <w:vertAlign w:val="subscript"/>
        </w:rPr>
        <w:t>1</w:t>
      </w:r>
      <w:r w:rsidRPr="006A4A97">
        <w:rPr>
          <w:rFonts w:ascii="Times New Roman" w:hAnsi="Times New Roman"/>
          <w:sz w:val="20"/>
          <w:szCs w:val="20"/>
        </w:rPr>
        <w:t xml:space="preserve"> &lt; C &lt; C</w:t>
      </w:r>
      <w:r w:rsidRPr="006A4A97">
        <w:rPr>
          <w:rFonts w:ascii="Times New Roman" w:hAnsi="Times New Roman"/>
          <w:sz w:val="20"/>
          <w:szCs w:val="20"/>
          <w:vertAlign w:val="subscript"/>
        </w:rPr>
        <w:t>3</w:t>
      </w:r>
      <w:r w:rsidRPr="006A4A97">
        <w:rPr>
          <w:rFonts w:ascii="Times New Roman" w:hAnsi="Times New Roman"/>
          <w:sz w:val="20"/>
          <w:szCs w:val="20"/>
        </w:rPr>
        <w:t xml:space="preserve"> &lt; C</w:t>
      </w:r>
      <w:r w:rsidRPr="006A4A97">
        <w:rPr>
          <w:rFonts w:ascii="Times New Roman" w:hAnsi="Times New Roman"/>
          <w:sz w:val="20"/>
          <w:szCs w:val="20"/>
          <w:vertAlign w:val="subscript"/>
        </w:rPr>
        <w:t>2</w:t>
      </w:r>
      <w:r w:rsidRPr="006A4A97">
        <w:rPr>
          <w:rFonts w:ascii="Times New Roman" w:hAnsi="Times New Roman"/>
          <w:sz w:val="20"/>
          <w:szCs w:val="20"/>
        </w:rPr>
        <w:t xml:space="preserve"> in agreement with the aim of this work, i.e.  developing a non carcinogenic, nitrosamine – safe vulcanisate with properties comparable to that of the control vulcanisate. The tensile strength values are in exact correlation with the chemical cross link density values shown later in this article. It could be seen that the modulus values increases with increase in concentration of TBzTD and it shows a maximum at a dosage of 2.2 phr. This is in accordance with the cross link density values.</w:t>
      </w:r>
    </w:p>
    <w:p w:rsidR="006A4A97" w:rsidRPr="00144FFA" w:rsidRDefault="006A4A97" w:rsidP="00550756">
      <w:pPr>
        <w:pStyle w:val="NoSpacing"/>
        <w:ind w:firstLine="720"/>
        <w:jc w:val="both"/>
        <w:rPr>
          <w:rFonts w:ascii="Times New Roman" w:hAnsi="Times New Roman"/>
        </w:rPr>
      </w:pPr>
      <w:r w:rsidRPr="006A4A97">
        <w:rPr>
          <w:rFonts w:ascii="Times New Roman" w:hAnsi="Times New Roman" w:cs="Times New Roman"/>
          <w:sz w:val="20"/>
          <w:szCs w:val="20"/>
        </w:rPr>
        <w:t>The tear strength of the samples C, C</w:t>
      </w:r>
      <w:r w:rsidRPr="006A4A97">
        <w:rPr>
          <w:rFonts w:ascii="Times New Roman" w:hAnsi="Times New Roman" w:cs="Times New Roman"/>
          <w:sz w:val="20"/>
          <w:szCs w:val="20"/>
          <w:vertAlign w:val="subscript"/>
        </w:rPr>
        <w:t>1</w:t>
      </w:r>
      <w:r w:rsidRPr="006A4A97">
        <w:rPr>
          <w:rFonts w:ascii="Times New Roman" w:hAnsi="Times New Roman" w:cs="Times New Roman"/>
          <w:sz w:val="20"/>
          <w:szCs w:val="20"/>
        </w:rPr>
        <w:t>, C</w:t>
      </w:r>
      <w:r w:rsidRPr="006A4A97">
        <w:rPr>
          <w:rFonts w:ascii="Times New Roman" w:hAnsi="Times New Roman" w:cs="Times New Roman"/>
          <w:sz w:val="20"/>
          <w:szCs w:val="20"/>
          <w:vertAlign w:val="subscript"/>
        </w:rPr>
        <w:t xml:space="preserve">2 </w:t>
      </w:r>
      <w:r w:rsidRPr="006A4A97">
        <w:rPr>
          <w:rFonts w:ascii="Times New Roman" w:hAnsi="Times New Roman" w:cs="Times New Roman"/>
          <w:sz w:val="20"/>
          <w:szCs w:val="20"/>
        </w:rPr>
        <w:t>and C</w:t>
      </w:r>
      <w:r w:rsidRPr="006A4A97">
        <w:rPr>
          <w:rFonts w:ascii="Times New Roman" w:hAnsi="Times New Roman" w:cs="Times New Roman"/>
          <w:sz w:val="20"/>
          <w:szCs w:val="20"/>
          <w:vertAlign w:val="subscript"/>
        </w:rPr>
        <w:t>3</w:t>
      </w:r>
      <w:r w:rsidRPr="006A4A97">
        <w:rPr>
          <w:rFonts w:ascii="Times New Roman" w:hAnsi="Times New Roman" w:cs="Times New Roman"/>
          <w:sz w:val="20"/>
          <w:szCs w:val="20"/>
        </w:rPr>
        <w:t xml:space="preserve"> are shown in Table 3. Tear strength indicates the capacity of the vulcanisates to resist cutting, chipping and tearing actions during service. From the result it was observed that the samples C</w:t>
      </w:r>
      <w:r w:rsidRPr="006A4A97">
        <w:rPr>
          <w:rFonts w:ascii="Times New Roman" w:hAnsi="Times New Roman" w:cs="Times New Roman"/>
          <w:sz w:val="20"/>
          <w:szCs w:val="20"/>
          <w:vertAlign w:val="subscript"/>
        </w:rPr>
        <w:t>1</w:t>
      </w:r>
      <w:r w:rsidRPr="006A4A97">
        <w:rPr>
          <w:rFonts w:ascii="Times New Roman" w:hAnsi="Times New Roman" w:cs="Times New Roman"/>
          <w:sz w:val="20"/>
          <w:szCs w:val="20"/>
        </w:rPr>
        <w:t xml:space="preserve"> and C</w:t>
      </w:r>
      <w:r w:rsidRPr="006A4A97">
        <w:rPr>
          <w:rFonts w:ascii="Times New Roman" w:hAnsi="Times New Roman" w:cs="Times New Roman"/>
          <w:sz w:val="20"/>
          <w:szCs w:val="20"/>
          <w:vertAlign w:val="subscript"/>
        </w:rPr>
        <w:t>3</w:t>
      </w:r>
      <w:r w:rsidRPr="006A4A97">
        <w:rPr>
          <w:rFonts w:ascii="Times New Roman" w:hAnsi="Times New Roman" w:cs="Times New Roman"/>
          <w:sz w:val="20"/>
          <w:szCs w:val="20"/>
        </w:rPr>
        <w:t xml:space="preserve"> have almost the same tear strength and that for C</w:t>
      </w:r>
      <w:r w:rsidRPr="006A4A97">
        <w:rPr>
          <w:rFonts w:ascii="Times New Roman" w:hAnsi="Times New Roman" w:cs="Times New Roman"/>
          <w:sz w:val="20"/>
          <w:szCs w:val="20"/>
          <w:vertAlign w:val="subscript"/>
        </w:rPr>
        <w:t>2</w:t>
      </w:r>
      <w:r w:rsidRPr="006A4A97">
        <w:rPr>
          <w:rFonts w:ascii="Times New Roman" w:hAnsi="Times New Roman" w:cs="Times New Roman"/>
          <w:sz w:val="20"/>
          <w:szCs w:val="20"/>
        </w:rPr>
        <w:t xml:space="preserve"> is high. Hardness (Shore A) of the samples C, C</w:t>
      </w:r>
      <w:r w:rsidRPr="006A4A97">
        <w:rPr>
          <w:rFonts w:ascii="Times New Roman" w:hAnsi="Times New Roman" w:cs="Times New Roman"/>
          <w:sz w:val="20"/>
          <w:szCs w:val="20"/>
          <w:vertAlign w:val="subscript"/>
        </w:rPr>
        <w:t>1</w:t>
      </w:r>
      <w:r w:rsidRPr="006A4A97">
        <w:rPr>
          <w:rFonts w:ascii="Times New Roman" w:hAnsi="Times New Roman" w:cs="Times New Roman"/>
          <w:sz w:val="20"/>
          <w:szCs w:val="20"/>
        </w:rPr>
        <w:t>, C</w:t>
      </w:r>
      <w:r w:rsidRPr="006A4A97">
        <w:rPr>
          <w:rFonts w:ascii="Times New Roman" w:hAnsi="Times New Roman" w:cs="Times New Roman"/>
          <w:sz w:val="20"/>
          <w:szCs w:val="20"/>
          <w:vertAlign w:val="subscript"/>
        </w:rPr>
        <w:t>2</w:t>
      </w:r>
      <w:r w:rsidRPr="006A4A97">
        <w:rPr>
          <w:rFonts w:ascii="Times New Roman" w:hAnsi="Times New Roman" w:cs="Times New Roman"/>
          <w:sz w:val="20"/>
          <w:szCs w:val="20"/>
        </w:rPr>
        <w:t xml:space="preserve"> and C</w:t>
      </w:r>
      <w:r w:rsidRPr="006A4A97">
        <w:rPr>
          <w:rFonts w:ascii="Times New Roman" w:hAnsi="Times New Roman" w:cs="Times New Roman"/>
          <w:sz w:val="20"/>
          <w:szCs w:val="20"/>
          <w:vertAlign w:val="subscript"/>
        </w:rPr>
        <w:t>3</w:t>
      </w:r>
      <w:r w:rsidRPr="006A4A97">
        <w:rPr>
          <w:rFonts w:ascii="Times New Roman" w:hAnsi="Times New Roman" w:cs="Times New Roman"/>
          <w:sz w:val="20"/>
          <w:szCs w:val="20"/>
        </w:rPr>
        <w:t xml:space="preserve"> are shown in Table 3. Hardness is a measure of modulus of elasticity at low strain</w:t>
      </w:r>
      <w:r w:rsidRPr="006A4A97">
        <w:rPr>
          <w:rFonts w:ascii="Times New Roman" w:eastAsia="MS Mincho" w:hAnsi="Times New Roman" w:cs="Times New Roman"/>
          <w:sz w:val="20"/>
          <w:szCs w:val="20"/>
        </w:rPr>
        <w:t xml:space="preserve"> </w:t>
      </w:r>
      <w:r w:rsidR="00A9278B">
        <w:rPr>
          <w:rFonts w:ascii="Times New Roman" w:eastAsia="MS Mincho" w:hAnsi="Times New Roman" w:cs="Times New Roman"/>
          <w:sz w:val="20"/>
          <w:szCs w:val="20"/>
        </w:rPr>
        <w:t>[18]</w:t>
      </w:r>
      <w:r w:rsidRPr="006A4A97">
        <w:rPr>
          <w:rFonts w:ascii="Times New Roman" w:hAnsi="Times New Roman" w:cs="Times New Roman"/>
          <w:sz w:val="20"/>
          <w:szCs w:val="20"/>
        </w:rPr>
        <w:t>. The hardness value remains practically unchanged. This indicates that the hardness is not adversely affected by the addition of the safe accelerator</w:t>
      </w:r>
      <w:r w:rsidRPr="00144FFA">
        <w:rPr>
          <w:rFonts w:ascii="Times New Roman" w:hAnsi="Times New Roman"/>
        </w:rPr>
        <w:t>.</w:t>
      </w:r>
    </w:p>
    <w:p w:rsidR="00AD7AB1" w:rsidRDefault="00AD7AB1" w:rsidP="00AD7AB1">
      <w:pPr>
        <w:rPr>
          <w:rFonts w:ascii="Times New Roman" w:eastAsia="MS Mincho" w:hAnsi="Times New Roman"/>
          <w:noProof/>
          <w:szCs w:val="20"/>
        </w:rPr>
      </w:pPr>
    </w:p>
    <w:p w:rsidR="00C90D50" w:rsidRDefault="00C90D50" w:rsidP="00AD7AB1">
      <w:pPr>
        <w:rPr>
          <w:rFonts w:ascii="Times New Roman" w:eastAsia="MS Mincho" w:hAnsi="Times New Roman"/>
          <w:noProof/>
          <w:szCs w:val="20"/>
        </w:rPr>
      </w:pPr>
      <w:r>
        <w:rPr>
          <w:rFonts w:ascii="Times New Roman" w:eastAsia="MS Mincho" w:hAnsi="Times New Roman"/>
          <w:noProof/>
          <w:szCs w:val="20"/>
          <w:lang w:val="en-IN" w:eastAsia="en-IN"/>
        </w:rPr>
        <w:lastRenderedPageBreak/>
        <w:drawing>
          <wp:inline distT="0" distB="0" distL="0" distR="0">
            <wp:extent cx="5732145" cy="2840963"/>
            <wp:effectExtent l="19050" t="0" r="190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
                    <a:srcRect/>
                    <a:stretch>
                      <a:fillRect/>
                    </a:stretch>
                  </pic:blipFill>
                  <pic:spPr bwMode="auto">
                    <a:xfrm>
                      <a:off x="0" y="0"/>
                      <a:ext cx="5732145" cy="2840963"/>
                    </a:xfrm>
                    <a:prstGeom prst="rect">
                      <a:avLst/>
                    </a:prstGeom>
                    <a:noFill/>
                    <a:ln w="9525">
                      <a:noFill/>
                      <a:miter lim="800000"/>
                      <a:headEnd/>
                      <a:tailEnd/>
                    </a:ln>
                  </pic:spPr>
                </pic:pic>
              </a:graphicData>
            </a:graphic>
          </wp:inline>
        </w:drawing>
      </w:r>
    </w:p>
    <w:p w:rsidR="00C90D50" w:rsidRPr="00144FFA" w:rsidRDefault="00C90D50" w:rsidP="00C90D50">
      <w:pPr>
        <w:pStyle w:val="NoSpacing"/>
        <w:jc w:val="both"/>
        <w:rPr>
          <w:rFonts w:ascii="Times New Roman" w:hAnsi="Times New Roman"/>
          <w:sz w:val="20"/>
          <w:szCs w:val="20"/>
        </w:rPr>
      </w:pPr>
      <w:r>
        <w:rPr>
          <w:rFonts w:ascii="Times New Roman" w:hAnsi="Times New Roman"/>
          <w:sz w:val="20"/>
          <w:szCs w:val="20"/>
        </w:rPr>
        <w:t xml:space="preserve">  </w:t>
      </w:r>
      <w:r w:rsidRPr="005A3561">
        <w:rPr>
          <w:rFonts w:ascii="Times New Roman" w:hAnsi="Times New Roman"/>
          <w:sz w:val="20"/>
          <w:szCs w:val="20"/>
        </w:rPr>
        <w:t>Figure 2:</w:t>
      </w:r>
      <w:r w:rsidRPr="00144FFA">
        <w:rPr>
          <w:rFonts w:ascii="Times New Roman" w:hAnsi="Times New Roman"/>
          <w:sz w:val="20"/>
          <w:szCs w:val="20"/>
        </w:rPr>
        <w:t xml:space="preserve"> Stress-Strain curves of the samples</w:t>
      </w:r>
    </w:p>
    <w:p w:rsidR="00C90D50" w:rsidRDefault="00C90D50" w:rsidP="00AD7AB1">
      <w:pPr>
        <w:rPr>
          <w:rFonts w:ascii="Times New Roman" w:hAnsi="Times New Roman"/>
        </w:rPr>
      </w:pPr>
    </w:p>
    <w:tbl>
      <w:tblPr>
        <w:tblpPr w:leftFromText="180" w:rightFromText="180" w:vertAnchor="text" w:horzAnchor="margin" w:tblpY="2710"/>
        <w:tblW w:w="9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950"/>
        <w:gridCol w:w="1418"/>
        <w:gridCol w:w="1317"/>
        <w:gridCol w:w="1215"/>
        <w:gridCol w:w="1150"/>
      </w:tblGrid>
      <w:tr w:rsidR="00E03C5E" w:rsidRPr="0044372C" w:rsidTr="00241128">
        <w:trPr>
          <w:trHeight w:val="2"/>
        </w:trPr>
        <w:tc>
          <w:tcPr>
            <w:tcW w:w="3950" w:type="dxa"/>
            <w:shd w:val="clear" w:color="auto" w:fill="FFFFFF"/>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Properties</w:t>
            </w:r>
          </w:p>
        </w:tc>
        <w:tc>
          <w:tcPr>
            <w:tcW w:w="1418" w:type="dxa"/>
            <w:shd w:val="clear" w:color="auto" w:fill="FFFFFF"/>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C</w:t>
            </w:r>
          </w:p>
        </w:tc>
        <w:tc>
          <w:tcPr>
            <w:tcW w:w="1317" w:type="dxa"/>
            <w:shd w:val="clear" w:color="auto" w:fill="FFFFFF"/>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C</w:t>
            </w:r>
            <w:r w:rsidRPr="00221EBD">
              <w:rPr>
                <w:rFonts w:ascii="Times New Roman" w:hAnsi="Times New Roman"/>
                <w:sz w:val="20"/>
                <w:szCs w:val="20"/>
                <w:vertAlign w:val="subscript"/>
              </w:rPr>
              <w:t>1</w:t>
            </w:r>
          </w:p>
        </w:tc>
        <w:tc>
          <w:tcPr>
            <w:tcW w:w="1215" w:type="dxa"/>
            <w:shd w:val="clear" w:color="auto" w:fill="FFFFFF"/>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C</w:t>
            </w:r>
            <w:r w:rsidRPr="00221EBD">
              <w:rPr>
                <w:rFonts w:ascii="Times New Roman" w:hAnsi="Times New Roman"/>
                <w:sz w:val="20"/>
                <w:szCs w:val="20"/>
                <w:vertAlign w:val="subscript"/>
              </w:rPr>
              <w:t>2</w:t>
            </w:r>
          </w:p>
        </w:tc>
        <w:tc>
          <w:tcPr>
            <w:tcW w:w="1150" w:type="dxa"/>
            <w:shd w:val="clear" w:color="auto" w:fill="FFFFFF"/>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C</w:t>
            </w:r>
            <w:r w:rsidRPr="00221EBD">
              <w:rPr>
                <w:rFonts w:ascii="Times New Roman" w:hAnsi="Times New Roman"/>
                <w:sz w:val="20"/>
                <w:szCs w:val="20"/>
                <w:vertAlign w:val="subscript"/>
              </w:rPr>
              <w:t>3</w:t>
            </w:r>
          </w:p>
        </w:tc>
      </w:tr>
      <w:tr w:rsidR="00E03C5E" w:rsidRPr="0044372C" w:rsidTr="00241128">
        <w:trPr>
          <w:trHeight w:val="2"/>
        </w:trPr>
        <w:tc>
          <w:tcPr>
            <w:tcW w:w="3950"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Tensile strength(MPa)</w:t>
            </w:r>
          </w:p>
        </w:tc>
        <w:tc>
          <w:tcPr>
            <w:tcW w:w="1418"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17.43</w:t>
            </w:r>
          </w:p>
        </w:tc>
        <w:tc>
          <w:tcPr>
            <w:tcW w:w="1317"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14.52</w:t>
            </w:r>
          </w:p>
        </w:tc>
        <w:tc>
          <w:tcPr>
            <w:tcW w:w="1215"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19.55</w:t>
            </w:r>
          </w:p>
        </w:tc>
        <w:tc>
          <w:tcPr>
            <w:tcW w:w="1150"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18.97</w:t>
            </w:r>
          </w:p>
        </w:tc>
      </w:tr>
      <w:tr w:rsidR="00E03C5E" w:rsidRPr="0044372C" w:rsidTr="00241128">
        <w:trPr>
          <w:trHeight w:val="121"/>
        </w:trPr>
        <w:tc>
          <w:tcPr>
            <w:tcW w:w="3950" w:type="dxa"/>
            <w:vAlign w:val="center"/>
          </w:tcPr>
          <w:p w:rsidR="00E03C5E" w:rsidRPr="00221EBD" w:rsidRDefault="00E03C5E" w:rsidP="00E03C5E">
            <w:pPr>
              <w:pStyle w:val="NoSpacing"/>
              <w:jc w:val="center"/>
              <w:rPr>
                <w:rFonts w:ascii="Times New Roman" w:hAnsi="Times New Roman"/>
                <w:sz w:val="20"/>
                <w:szCs w:val="20"/>
              </w:rPr>
            </w:pPr>
            <w:r w:rsidRPr="00221EBD">
              <w:rPr>
                <w:rFonts w:ascii="Times New Roman" w:hAnsi="Times New Roman"/>
                <w:sz w:val="20"/>
                <w:szCs w:val="20"/>
              </w:rPr>
              <w:t>Modulus at 300% elongation (MPa)</w:t>
            </w:r>
          </w:p>
        </w:tc>
        <w:tc>
          <w:tcPr>
            <w:tcW w:w="1418"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1.61</w:t>
            </w:r>
          </w:p>
        </w:tc>
        <w:tc>
          <w:tcPr>
            <w:tcW w:w="1317"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1.32</w:t>
            </w:r>
          </w:p>
        </w:tc>
        <w:tc>
          <w:tcPr>
            <w:tcW w:w="1215"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1.46</w:t>
            </w:r>
          </w:p>
        </w:tc>
        <w:tc>
          <w:tcPr>
            <w:tcW w:w="1150"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1.39</w:t>
            </w:r>
          </w:p>
        </w:tc>
      </w:tr>
      <w:tr w:rsidR="00E03C5E" w:rsidRPr="0044372C" w:rsidTr="00241128">
        <w:trPr>
          <w:trHeight w:val="2"/>
        </w:trPr>
        <w:tc>
          <w:tcPr>
            <w:tcW w:w="3950"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Elongation at break(%)</w:t>
            </w:r>
          </w:p>
        </w:tc>
        <w:tc>
          <w:tcPr>
            <w:tcW w:w="1418"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1071</w:t>
            </w:r>
          </w:p>
        </w:tc>
        <w:tc>
          <w:tcPr>
            <w:tcW w:w="1317"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1084</w:t>
            </w:r>
          </w:p>
        </w:tc>
        <w:tc>
          <w:tcPr>
            <w:tcW w:w="1215"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1230</w:t>
            </w:r>
          </w:p>
        </w:tc>
        <w:tc>
          <w:tcPr>
            <w:tcW w:w="1150"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1354</w:t>
            </w:r>
          </w:p>
        </w:tc>
      </w:tr>
      <w:tr w:rsidR="00E03C5E" w:rsidRPr="0044372C" w:rsidTr="00241128">
        <w:trPr>
          <w:trHeight w:val="2"/>
        </w:trPr>
        <w:tc>
          <w:tcPr>
            <w:tcW w:w="3950"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Tear strength (N/mm)</w:t>
            </w:r>
          </w:p>
        </w:tc>
        <w:tc>
          <w:tcPr>
            <w:tcW w:w="1418"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25.37</w:t>
            </w:r>
          </w:p>
        </w:tc>
        <w:tc>
          <w:tcPr>
            <w:tcW w:w="1317"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24.13</w:t>
            </w:r>
          </w:p>
        </w:tc>
        <w:tc>
          <w:tcPr>
            <w:tcW w:w="1215"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26.71</w:t>
            </w:r>
          </w:p>
        </w:tc>
        <w:tc>
          <w:tcPr>
            <w:tcW w:w="1150"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24.96</w:t>
            </w:r>
          </w:p>
        </w:tc>
      </w:tr>
      <w:tr w:rsidR="00E03C5E" w:rsidRPr="0044372C" w:rsidTr="00241128">
        <w:trPr>
          <w:trHeight w:val="2"/>
        </w:trPr>
        <w:tc>
          <w:tcPr>
            <w:tcW w:w="3950"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Hardness (Shore A)</w:t>
            </w:r>
          </w:p>
        </w:tc>
        <w:tc>
          <w:tcPr>
            <w:tcW w:w="1418"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29</w:t>
            </w:r>
          </w:p>
        </w:tc>
        <w:tc>
          <w:tcPr>
            <w:tcW w:w="1317"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28</w:t>
            </w:r>
          </w:p>
        </w:tc>
        <w:tc>
          <w:tcPr>
            <w:tcW w:w="1215"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31</w:t>
            </w:r>
          </w:p>
        </w:tc>
        <w:tc>
          <w:tcPr>
            <w:tcW w:w="1150"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31</w:t>
            </w:r>
          </w:p>
        </w:tc>
      </w:tr>
      <w:tr w:rsidR="00E03C5E" w:rsidRPr="0044372C" w:rsidTr="00241128">
        <w:trPr>
          <w:trHeight w:val="2"/>
        </w:trPr>
        <w:tc>
          <w:tcPr>
            <w:tcW w:w="3950"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Rebound resilience (%)</w:t>
            </w:r>
          </w:p>
        </w:tc>
        <w:tc>
          <w:tcPr>
            <w:tcW w:w="1418"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65</w:t>
            </w:r>
          </w:p>
        </w:tc>
        <w:tc>
          <w:tcPr>
            <w:tcW w:w="1317"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62</w:t>
            </w:r>
          </w:p>
        </w:tc>
        <w:tc>
          <w:tcPr>
            <w:tcW w:w="1215"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65</w:t>
            </w:r>
          </w:p>
        </w:tc>
        <w:tc>
          <w:tcPr>
            <w:tcW w:w="1150"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66</w:t>
            </w:r>
          </w:p>
        </w:tc>
      </w:tr>
      <w:tr w:rsidR="00E03C5E" w:rsidRPr="0044372C" w:rsidTr="00241128">
        <w:trPr>
          <w:trHeight w:val="249"/>
        </w:trPr>
        <w:tc>
          <w:tcPr>
            <w:tcW w:w="3950"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Crosslink density x10</w:t>
            </w:r>
            <w:r w:rsidRPr="00221EBD">
              <w:rPr>
                <w:rFonts w:ascii="Times New Roman" w:hAnsi="Times New Roman"/>
                <w:sz w:val="20"/>
                <w:szCs w:val="20"/>
                <w:vertAlign w:val="superscript"/>
              </w:rPr>
              <w:t>5</w:t>
            </w:r>
            <w:r w:rsidRPr="00221EBD">
              <w:rPr>
                <w:rFonts w:ascii="Times New Roman" w:hAnsi="Times New Roman"/>
                <w:sz w:val="20"/>
                <w:szCs w:val="20"/>
              </w:rPr>
              <w:t xml:space="preserve"> (moles/g rubber hydrocarbon)</w:t>
            </w:r>
          </w:p>
        </w:tc>
        <w:tc>
          <w:tcPr>
            <w:tcW w:w="1418"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3.93</w:t>
            </w:r>
          </w:p>
        </w:tc>
        <w:tc>
          <w:tcPr>
            <w:tcW w:w="1317"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3.64</w:t>
            </w:r>
          </w:p>
        </w:tc>
        <w:tc>
          <w:tcPr>
            <w:tcW w:w="1215"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7.09</w:t>
            </w:r>
          </w:p>
        </w:tc>
        <w:tc>
          <w:tcPr>
            <w:tcW w:w="1150" w:type="dxa"/>
            <w:vAlign w:val="center"/>
          </w:tcPr>
          <w:p w:rsidR="00E03C5E" w:rsidRPr="00221EBD" w:rsidRDefault="00E03C5E" w:rsidP="00E03C5E">
            <w:pPr>
              <w:jc w:val="center"/>
              <w:rPr>
                <w:rFonts w:ascii="Times New Roman" w:hAnsi="Times New Roman"/>
                <w:sz w:val="20"/>
                <w:szCs w:val="20"/>
              </w:rPr>
            </w:pPr>
            <w:r w:rsidRPr="00221EBD">
              <w:rPr>
                <w:rFonts w:ascii="Times New Roman" w:hAnsi="Times New Roman"/>
                <w:sz w:val="20"/>
                <w:szCs w:val="20"/>
              </w:rPr>
              <w:t>6.10</w:t>
            </w:r>
          </w:p>
        </w:tc>
      </w:tr>
    </w:tbl>
    <w:p w:rsidR="00AD7AB1" w:rsidRPr="00221EBD" w:rsidRDefault="00221EBD" w:rsidP="00FC619B">
      <w:pPr>
        <w:ind w:left="90" w:firstLine="630"/>
        <w:jc w:val="both"/>
        <w:rPr>
          <w:rFonts w:ascii="Times New Roman" w:hAnsi="Times New Roman"/>
          <w:sz w:val="20"/>
          <w:szCs w:val="20"/>
        </w:rPr>
      </w:pPr>
      <w:r w:rsidRPr="00221EBD">
        <w:rPr>
          <w:rFonts w:ascii="Times New Roman" w:hAnsi="Times New Roman"/>
          <w:sz w:val="20"/>
          <w:szCs w:val="20"/>
        </w:rPr>
        <w:t>Compression set of rubber vulcanisates results from rearrangement of the network structure, degradation of polymer chains, debonding of polymer- filler attachments, etc. It is dependent on the type of the polymer, nature of cross links, type of filler and its quantity</w:t>
      </w:r>
      <w:r w:rsidRPr="00221EBD">
        <w:rPr>
          <w:rFonts w:ascii="Times New Roman" w:eastAsia="MS Mincho" w:hAnsi="Times New Roman"/>
          <w:sz w:val="20"/>
          <w:szCs w:val="20"/>
        </w:rPr>
        <w:t xml:space="preserve"> </w:t>
      </w:r>
      <w:r w:rsidR="00A9278B">
        <w:rPr>
          <w:rFonts w:ascii="Times New Roman" w:eastAsia="MS Mincho" w:hAnsi="Times New Roman"/>
          <w:sz w:val="20"/>
          <w:szCs w:val="20"/>
        </w:rPr>
        <w:t>[19 – 21]</w:t>
      </w:r>
      <w:r w:rsidRPr="00221EBD">
        <w:rPr>
          <w:rFonts w:ascii="Times New Roman" w:hAnsi="Times New Roman"/>
          <w:b/>
          <w:sz w:val="20"/>
          <w:szCs w:val="20"/>
        </w:rPr>
        <w:t xml:space="preserve">. </w:t>
      </w:r>
      <w:r w:rsidRPr="00221EBD">
        <w:rPr>
          <w:rFonts w:ascii="Times New Roman" w:hAnsi="Times New Roman"/>
          <w:sz w:val="20"/>
          <w:szCs w:val="20"/>
        </w:rPr>
        <w:t>Measurement of set under compression provides a practical evaluation of either the creep or the stress relaxation of rubber. A high state of cure is found to reduce set. Compressions set value of the vulcanisate containing TMTD is 14%. The compression set of the vulcanisates prepared from the compounds containing TBzTD are almost similar to that of the control vulcanisate containing TMTD.</w:t>
      </w:r>
    </w:p>
    <w:p w:rsidR="00E03C5E" w:rsidRDefault="00E03C5E" w:rsidP="003E51C5">
      <w:pPr>
        <w:pStyle w:val="NoSpacing"/>
        <w:spacing w:line="276" w:lineRule="auto"/>
        <w:ind w:left="720" w:firstLine="720"/>
        <w:jc w:val="both"/>
        <w:rPr>
          <w:rFonts w:ascii="Times New Roman" w:hAnsi="Times New Roman" w:cs="Times New Roman"/>
          <w:sz w:val="20"/>
          <w:szCs w:val="20"/>
        </w:rPr>
      </w:pPr>
      <w:r w:rsidRPr="0093060E">
        <w:rPr>
          <w:rFonts w:ascii="Times New Roman" w:hAnsi="Times New Roman"/>
          <w:sz w:val="20"/>
          <w:szCs w:val="20"/>
        </w:rPr>
        <w:t>Table 3.</w:t>
      </w:r>
      <w:r w:rsidRPr="00144FFA">
        <w:rPr>
          <w:rFonts w:ascii="Times New Roman" w:hAnsi="Times New Roman"/>
          <w:b/>
          <w:sz w:val="20"/>
          <w:szCs w:val="20"/>
        </w:rPr>
        <w:t xml:space="preserve"> </w:t>
      </w:r>
      <w:r w:rsidRPr="00144FFA">
        <w:rPr>
          <w:rFonts w:ascii="Times New Roman" w:hAnsi="Times New Roman"/>
          <w:sz w:val="20"/>
          <w:szCs w:val="20"/>
        </w:rPr>
        <w:t>Properties of the rubber vulcanisates</w:t>
      </w:r>
    </w:p>
    <w:p w:rsidR="00E03C5E" w:rsidRDefault="00E03C5E" w:rsidP="003E51C5">
      <w:pPr>
        <w:pStyle w:val="NoSpacing"/>
        <w:spacing w:line="276" w:lineRule="auto"/>
        <w:ind w:left="720" w:firstLine="720"/>
        <w:jc w:val="both"/>
        <w:rPr>
          <w:rFonts w:ascii="Times New Roman" w:hAnsi="Times New Roman" w:cs="Times New Roman"/>
          <w:sz w:val="20"/>
          <w:szCs w:val="20"/>
        </w:rPr>
      </w:pPr>
    </w:p>
    <w:p w:rsidR="00E03C5E" w:rsidRDefault="00E03C5E" w:rsidP="003E51C5">
      <w:pPr>
        <w:pStyle w:val="NoSpacing"/>
        <w:spacing w:line="276" w:lineRule="auto"/>
        <w:ind w:left="720" w:firstLine="720"/>
        <w:jc w:val="both"/>
        <w:rPr>
          <w:rFonts w:ascii="Times New Roman" w:hAnsi="Times New Roman" w:cs="Times New Roman"/>
          <w:sz w:val="20"/>
          <w:szCs w:val="20"/>
        </w:rPr>
      </w:pPr>
    </w:p>
    <w:p w:rsidR="00E03C5E" w:rsidRDefault="00E03C5E" w:rsidP="003E51C5">
      <w:pPr>
        <w:pStyle w:val="NoSpacing"/>
        <w:spacing w:line="276" w:lineRule="auto"/>
        <w:ind w:left="720" w:firstLine="720"/>
        <w:jc w:val="both"/>
        <w:rPr>
          <w:rFonts w:ascii="Times New Roman" w:hAnsi="Times New Roman" w:cs="Times New Roman"/>
          <w:sz w:val="20"/>
          <w:szCs w:val="20"/>
        </w:rPr>
      </w:pPr>
    </w:p>
    <w:p w:rsidR="00221EBD" w:rsidRPr="00221EBD" w:rsidRDefault="00221EBD" w:rsidP="00205B80">
      <w:pPr>
        <w:pStyle w:val="NoSpacing"/>
        <w:spacing w:line="276" w:lineRule="auto"/>
        <w:ind w:firstLine="720"/>
        <w:jc w:val="both"/>
        <w:rPr>
          <w:rFonts w:ascii="Times New Roman" w:hAnsi="Times New Roman"/>
          <w:sz w:val="20"/>
          <w:szCs w:val="20"/>
        </w:rPr>
      </w:pPr>
      <w:r w:rsidRPr="00221EBD">
        <w:rPr>
          <w:rFonts w:ascii="Times New Roman" w:hAnsi="Times New Roman" w:cs="Times New Roman"/>
          <w:sz w:val="20"/>
          <w:szCs w:val="20"/>
        </w:rPr>
        <w:lastRenderedPageBreak/>
        <w:t>Flex crack resistance of elastomer vulcanisates is the ability to sustain numerous flexing cycles without the occurrence of cracks in the surface from stress and ozone attack</w:t>
      </w:r>
      <w:r w:rsidRPr="00221EBD">
        <w:rPr>
          <w:rFonts w:ascii="Times New Roman" w:eastAsia="MS Mincho" w:hAnsi="Times New Roman" w:cs="Times New Roman"/>
          <w:sz w:val="20"/>
          <w:szCs w:val="20"/>
        </w:rPr>
        <w:t xml:space="preserve"> </w:t>
      </w:r>
      <w:r w:rsidR="00A9278B">
        <w:rPr>
          <w:rFonts w:ascii="Times New Roman" w:eastAsia="MS Mincho" w:hAnsi="Times New Roman" w:cs="Times New Roman"/>
          <w:sz w:val="20"/>
          <w:szCs w:val="20"/>
        </w:rPr>
        <w:t>[22]</w:t>
      </w:r>
      <w:r w:rsidRPr="00221EBD">
        <w:rPr>
          <w:rFonts w:ascii="Times New Roman" w:eastAsia="MS Mincho" w:hAnsi="Times New Roman" w:cs="Times New Roman"/>
          <w:sz w:val="20"/>
          <w:szCs w:val="20"/>
        </w:rPr>
        <w:t>.</w:t>
      </w:r>
      <w:r w:rsidRPr="00221EBD">
        <w:rPr>
          <w:rFonts w:ascii="Times New Roman" w:hAnsi="Times New Roman" w:cs="Times New Roman"/>
          <w:sz w:val="20"/>
          <w:szCs w:val="20"/>
        </w:rPr>
        <w:t xml:space="preserve"> The number of test cycles required for the control sample for the initiation of crack growth was found to be about 2 lakhs.  In the case of the samples C</w:t>
      </w:r>
      <w:r w:rsidRPr="00221EBD">
        <w:rPr>
          <w:rFonts w:ascii="Times New Roman" w:hAnsi="Times New Roman" w:cs="Times New Roman"/>
          <w:sz w:val="20"/>
          <w:szCs w:val="20"/>
          <w:vertAlign w:val="subscript"/>
        </w:rPr>
        <w:t>1</w:t>
      </w:r>
      <w:r w:rsidRPr="00221EBD">
        <w:rPr>
          <w:rFonts w:ascii="Times New Roman" w:hAnsi="Times New Roman" w:cs="Times New Roman"/>
          <w:sz w:val="20"/>
          <w:szCs w:val="20"/>
        </w:rPr>
        <w:t>, C</w:t>
      </w:r>
      <w:r w:rsidRPr="00221EBD">
        <w:rPr>
          <w:rFonts w:ascii="Times New Roman" w:hAnsi="Times New Roman" w:cs="Times New Roman"/>
          <w:sz w:val="20"/>
          <w:szCs w:val="20"/>
          <w:vertAlign w:val="subscript"/>
        </w:rPr>
        <w:t>2</w:t>
      </w:r>
      <w:r w:rsidRPr="00221EBD">
        <w:rPr>
          <w:rFonts w:ascii="Times New Roman" w:hAnsi="Times New Roman" w:cs="Times New Roman"/>
          <w:sz w:val="20"/>
          <w:szCs w:val="20"/>
        </w:rPr>
        <w:t xml:space="preserve"> and C</w:t>
      </w:r>
      <w:r w:rsidRPr="00221EBD">
        <w:rPr>
          <w:rFonts w:ascii="Times New Roman" w:hAnsi="Times New Roman" w:cs="Times New Roman"/>
          <w:sz w:val="20"/>
          <w:szCs w:val="20"/>
          <w:vertAlign w:val="subscript"/>
        </w:rPr>
        <w:t xml:space="preserve">3 </w:t>
      </w:r>
      <w:r w:rsidRPr="00221EBD">
        <w:rPr>
          <w:rFonts w:ascii="Times New Roman" w:hAnsi="Times New Roman" w:cs="Times New Roman"/>
          <w:sz w:val="20"/>
          <w:szCs w:val="20"/>
        </w:rPr>
        <w:t>containing TBzTD crack growth initiation was not observed even after 2 lakhs flexing cycles.</w:t>
      </w:r>
      <w:r w:rsidRPr="00144FFA">
        <w:rPr>
          <w:rFonts w:ascii="Times New Roman" w:hAnsi="Times New Roman"/>
          <w:b/>
        </w:rPr>
        <w:t xml:space="preserve"> </w:t>
      </w:r>
      <w:r w:rsidRPr="00221EBD">
        <w:rPr>
          <w:rFonts w:ascii="Times New Roman" w:hAnsi="Times New Roman"/>
          <w:sz w:val="20"/>
          <w:szCs w:val="20"/>
        </w:rPr>
        <w:t>Rebound resilience of the samples C, C</w:t>
      </w:r>
      <w:r w:rsidRPr="00221EBD">
        <w:rPr>
          <w:rFonts w:ascii="Times New Roman" w:hAnsi="Times New Roman"/>
          <w:sz w:val="20"/>
          <w:szCs w:val="20"/>
          <w:vertAlign w:val="subscript"/>
        </w:rPr>
        <w:t>1</w:t>
      </w:r>
      <w:r w:rsidRPr="00221EBD">
        <w:rPr>
          <w:rFonts w:ascii="Times New Roman" w:hAnsi="Times New Roman"/>
          <w:sz w:val="20"/>
          <w:szCs w:val="20"/>
        </w:rPr>
        <w:t>, C</w:t>
      </w:r>
      <w:r w:rsidRPr="00221EBD">
        <w:rPr>
          <w:rFonts w:ascii="Times New Roman" w:hAnsi="Times New Roman"/>
          <w:sz w:val="20"/>
          <w:szCs w:val="20"/>
          <w:vertAlign w:val="subscript"/>
        </w:rPr>
        <w:t>2</w:t>
      </w:r>
      <w:r w:rsidRPr="00221EBD">
        <w:rPr>
          <w:rFonts w:ascii="Times New Roman" w:hAnsi="Times New Roman"/>
          <w:sz w:val="20"/>
          <w:szCs w:val="20"/>
        </w:rPr>
        <w:t xml:space="preserve"> and C</w:t>
      </w:r>
      <w:r w:rsidRPr="00221EBD">
        <w:rPr>
          <w:rFonts w:ascii="Times New Roman" w:hAnsi="Times New Roman"/>
          <w:sz w:val="20"/>
          <w:szCs w:val="20"/>
          <w:vertAlign w:val="subscript"/>
        </w:rPr>
        <w:t>3</w:t>
      </w:r>
      <w:r w:rsidRPr="00221EBD">
        <w:rPr>
          <w:rFonts w:ascii="Times New Roman" w:hAnsi="Times New Roman"/>
          <w:sz w:val="20"/>
          <w:szCs w:val="20"/>
        </w:rPr>
        <w:t xml:space="preserve"> are shown in Table 3.The values are in the order C</w:t>
      </w:r>
      <w:r w:rsidRPr="00221EBD">
        <w:rPr>
          <w:rFonts w:ascii="Times New Roman" w:hAnsi="Times New Roman"/>
          <w:sz w:val="20"/>
          <w:szCs w:val="20"/>
          <w:vertAlign w:val="subscript"/>
        </w:rPr>
        <w:t>3</w:t>
      </w:r>
      <w:r w:rsidRPr="00221EBD">
        <w:rPr>
          <w:rFonts w:ascii="Times New Roman" w:hAnsi="Times New Roman"/>
          <w:sz w:val="20"/>
          <w:szCs w:val="20"/>
        </w:rPr>
        <w:t xml:space="preserve"> &gt; C &gt; C</w:t>
      </w:r>
      <w:r w:rsidRPr="00221EBD">
        <w:rPr>
          <w:rFonts w:ascii="Times New Roman" w:hAnsi="Times New Roman"/>
          <w:sz w:val="20"/>
          <w:szCs w:val="20"/>
          <w:vertAlign w:val="subscript"/>
        </w:rPr>
        <w:t>1</w:t>
      </w:r>
      <w:r w:rsidRPr="00221EBD">
        <w:rPr>
          <w:rFonts w:ascii="Times New Roman" w:hAnsi="Times New Roman"/>
          <w:sz w:val="20"/>
          <w:szCs w:val="20"/>
        </w:rPr>
        <w:t xml:space="preserve"> with marginal difference. The Control sample C and C</w:t>
      </w:r>
      <w:r w:rsidRPr="00221EBD">
        <w:rPr>
          <w:rFonts w:ascii="Times New Roman" w:hAnsi="Times New Roman"/>
          <w:sz w:val="20"/>
          <w:szCs w:val="20"/>
          <w:vertAlign w:val="subscript"/>
        </w:rPr>
        <w:t>2</w:t>
      </w:r>
      <w:r w:rsidRPr="00221EBD">
        <w:rPr>
          <w:rFonts w:ascii="Times New Roman" w:hAnsi="Times New Roman"/>
          <w:sz w:val="20"/>
          <w:szCs w:val="20"/>
        </w:rPr>
        <w:t xml:space="preserve"> have the same rebound resilience values.</w:t>
      </w:r>
    </w:p>
    <w:p w:rsidR="00221EBD" w:rsidRPr="00221EBD" w:rsidRDefault="00221EBD" w:rsidP="00205B80">
      <w:pPr>
        <w:pStyle w:val="NoSpacing"/>
        <w:tabs>
          <w:tab w:val="left" w:pos="0"/>
        </w:tabs>
        <w:ind w:firstLine="720"/>
        <w:jc w:val="both"/>
        <w:rPr>
          <w:rFonts w:ascii="Times New Roman" w:hAnsi="Times New Roman" w:cs="Times New Roman"/>
          <w:sz w:val="20"/>
          <w:szCs w:val="20"/>
        </w:rPr>
      </w:pPr>
      <w:r w:rsidRPr="00221EBD">
        <w:rPr>
          <w:rFonts w:ascii="Times New Roman" w:hAnsi="Times New Roman" w:cs="Times New Roman"/>
          <w:sz w:val="20"/>
          <w:szCs w:val="20"/>
        </w:rPr>
        <w:t xml:space="preserve">The stress –strain properties of the vulcanisates after aging for 24 hours at 70 </w:t>
      </w:r>
      <w:r w:rsidRPr="00221EBD">
        <w:rPr>
          <w:rFonts w:ascii="Times New Roman" w:hAnsi="Times New Roman" w:cs="Times New Roman"/>
          <w:sz w:val="20"/>
          <w:szCs w:val="20"/>
          <w:vertAlign w:val="superscript"/>
        </w:rPr>
        <w:t>o</w:t>
      </w:r>
      <w:r w:rsidRPr="00221EBD">
        <w:rPr>
          <w:rFonts w:ascii="Times New Roman" w:hAnsi="Times New Roman" w:cs="Times New Roman"/>
          <w:sz w:val="20"/>
          <w:szCs w:val="20"/>
        </w:rPr>
        <w:t xml:space="preserve">C and 100 </w:t>
      </w:r>
      <w:r w:rsidRPr="00221EBD">
        <w:rPr>
          <w:rFonts w:ascii="Times New Roman" w:hAnsi="Times New Roman" w:cs="Times New Roman"/>
          <w:sz w:val="20"/>
          <w:szCs w:val="20"/>
          <w:vertAlign w:val="superscript"/>
        </w:rPr>
        <w:t>o</w:t>
      </w:r>
      <w:r w:rsidRPr="00221EBD">
        <w:rPr>
          <w:rFonts w:ascii="Times New Roman" w:hAnsi="Times New Roman" w:cs="Times New Roman"/>
          <w:sz w:val="20"/>
          <w:szCs w:val="20"/>
        </w:rPr>
        <w:t xml:space="preserve">C are shown in Table 4. In all the cases the stress – strain properties improved marginally after aging at 70 </w:t>
      </w:r>
      <w:r w:rsidRPr="00221EBD">
        <w:rPr>
          <w:rFonts w:ascii="Times New Roman" w:hAnsi="Times New Roman" w:cs="Times New Roman"/>
          <w:sz w:val="20"/>
          <w:szCs w:val="20"/>
          <w:vertAlign w:val="superscript"/>
        </w:rPr>
        <w:t>o</w:t>
      </w:r>
      <w:r w:rsidRPr="00221EBD">
        <w:rPr>
          <w:rFonts w:ascii="Times New Roman" w:hAnsi="Times New Roman" w:cs="Times New Roman"/>
          <w:sz w:val="20"/>
          <w:szCs w:val="20"/>
        </w:rPr>
        <w:t xml:space="preserve">C. After aging at 100 </w:t>
      </w:r>
      <w:r w:rsidRPr="00221EBD">
        <w:rPr>
          <w:rFonts w:ascii="Times New Roman" w:hAnsi="Times New Roman" w:cs="Times New Roman"/>
          <w:sz w:val="20"/>
          <w:szCs w:val="20"/>
          <w:vertAlign w:val="superscript"/>
        </w:rPr>
        <w:t>o</w:t>
      </w:r>
      <w:r w:rsidRPr="00221EBD">
        <w:rPr>
          <w:rFonts w:ascii="Times New Roman" w:hAnsi="Times New Roman" w:cs="Times New Roman"/>
          <w:sz w:val="20"/>
          <w:szCs w:val="20"/>
        </w:rPr>
        <w:t>C the vulcanisate C, C</w:t>
      </w:r>
      <w:r w:rsidRPr="00221EBD">
        <w:rPr>
          <w:rFonts w:ascii="Times New Roman" w:hAnsi="Times New Roman" w:cs="Times New Roman"/>
          <w:sz w:val="20"/>
          <w:szCs w:val="20"/>
          <w:vertAlign w:val="subscript"/>
        </w:rPr>
        <w:t>2</w:t>
      </w:r>
      <w:r w:rsidRPr="00221EBD">
        <w:rPr>
          <w:rFonts w:ascii="Times New Roman" w:hAnsi="Times New Roman" w:cs="Times New Roman"/>
          <w:sz w:val="20"/>
          <w:szCs w:val="20"/>
        </w:rPr>
        <w:t xml:space="preserve"> and C</w:t>
      </w:r>
      <w:r w:rsidRPr="00221EBD">
        <w:rPr>
          <w:rFonts w:ascii="Times New Roman" w:hAnsi="Times New Roman" w:cs="Times New Roman"/>
          <w:sz w:val="20"/>
          <w:szCs w:val="20"/>
          <w:vertAlign w:val="subscript"/>
        </w:rPr>
        <w:t>3</w:t>
      </w:r>
      <w:r w:rsidRPr="00221EBD">
        <w:rPr>
          <w:rFonts w:ascii="Times New Roman" w:hAnsi="Times New Roman" w:cs="Times New Roman"/>
          <w:sz w:val="20"/>
          <w:szCs w:val="20"/>
        </w:rPr>
        <w:t xml:space="preserve"> shows marginal improvement in the properties. The improvement in properties on thermal aging may be due to the conversion of the small percentage of the polysulphidic crosslinks formed initially in the vulcanisate to monosulphidic and </w:t>
      </w:r>
      <w:r w:rsidR="00A9278B">
        <w:rPr>
          <w:rFonts w:ascii="Times New Roman" w:hAnsi="Times New Roman" w:cs="Times New Roman"/>
          <w:sz w:val="20"/>
          <w:szCs w:val="20"/>
        </w:rPr>
        <w:t xml:space="preserve"> </w:t>
      </w:r>
      <w:r w:rsidRPr="00221EBD">
        <w:rPr>
          <w:rFonts w:ascii="Times New Roman" w:hAnsi="Times New Roman" w:cs="Times New Roman"/>
          <w:sz w:val="20"/>
          <w:szCs w:val="20"/>
        </w:rPr>
        <w:t xml:space="preserve">disulphidic linkages </w:t>
      </w:r>
      <w:r w:rsidR="001D756F">
        <w:rPr>
          <w:rFonts w:ascii="Times New Roman" w:hAnsi="Times New Roman" w:cs="Times New Roman"/>
          <w:sz w:val="20"/>
          <w:szCs w:val="20"/>
        </w:rPr>
        <w:t>[3, 9,23].</w:t>
      </w:r>
    </w:p>
    <w:p w:rsidR="00621BED" w:rsidRPr="00144FFA" w:rsidRDefault="00621BED" w:rsidP="00205B80">
      <w:pPr>
        <w:pStyle w:val="NoSpacing"/>
        <w:spacing w:line="276" w:lineRule="auto"/>
        <w:jc w:val="center"/>
        <w:rPr>
          <w:rFonts w:ascii="Times New Roman" w:hAnsi="Times New Roman"/>
          <w:sz w:val="20"/>
          <w:szCs w:val="20"/>
        </w:rPr>
      </w:pPr>
      <w:r w:rsidRPr="00820F32">
        <w:rPr>
          <w:rFonts w:ascii="Times New Roman" w:hAnsi="Times New Roman"/>
          <w:sz w:val="20"/>
          <w:szCs w:val="20"/>
        </w:rPr>
        <w:t>Table 4.</w:t>
      </w:r>
      <w:r w:rsidRPr="00144FFA">
        <w:rPr>
          <w:rFonts w:ascii="Times New Roman" w:hAnsi="Times New Roman"/>
          <w:sz w:val="20"/>
          <w:szCs w:val="20"/>
        </w:rPr>
        <w:t xml:space="preserve"> Tensile properties of the rubber vulcanisates after ageing</w:t>
      </w:r>
    </w:p>
    <w:tbl>
      <w:tblPr>
        <w:tblpPr w:leftFromText="180" w:rightFromText="180" w:vertAnchor="page" w:horzAnchor="margin" w:tblpY="5011"/>
        <w:tblW w:w="9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76"/>
        <w:gridCol w:w="1269"/>
        <w:gridCol w:w="1269"/>
        <w:gridCol w:w="1269"/>
        <w:gridCol w:w="1465"/>
        <w:gridCol w:w="1172"/>
        <w:gridCol w:w="1626"/>
      </w:tblGrid>
      <w:tr w:rsidR="00205B80" w:rsidRPr="0044372C" w:rsidTr="00655A55">
        <w:trPr>
          <w:trHeight w:val="443"/>
        </w:trPr>
        <w:tc>
          <w:tcPr>
            <w:tcW w:w="976" w:type="dxa"/>
            <w:vMerge w:val="restart"/>
            <w:shd w:val="clear" w:color="auto" w:fill="FFFFFF"/>
            <w:vAlign w:val="center"/>
          </w:tcPr>
          <w:p w:rsidR="00205B80" w:rsidRPr="00621BED" w:rsidRDefault="00205B80" w:rsidP="00655A55">
            <w:pPr>
              <w:jc w:val="center"/>
              <w:rPr>
                <w:rFonts w:ascii="Times New Roman" w:hAnsi="Times New Roman"/>
                <w:sz w:val="20"/>
                <w:szCs w:val="20"/>
              </w:rPr>
            </w:pPr>
          </w:p>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Sample</w:t>
            </w:r>
          </w:p>
        </w:tc>
        <w:tc>
          <w:tcPr>
            <w:tcW w:w="2538" w:type="dxa"/>
            <w:gridSpan w:val="2"/>
            <w:shd w:val="clear" w:color="auto" w:fill="FFFFFF"/>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Tensile strength (MPa)</w:t>
            </w:r>
          </w:p>
        </w:tc>
        <w:tc>
          <w:tcPr>
            <w:tcW w:w="2734" w:type="dxa"/>
            <w:gridSpan w:val="2"/>
            <w:shd w:val="clear" w:color="auto" w:fill="FFFFFF"/>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Modulus at 300% elongation (MPa)</w:t>
            </w:r>
          </w:p>
        </w:tc>
        <w:tc>
          <w:tcPr>
            <w:tcW w:w="2798" w:type="dxa"/>
            <w:gridSpan w:val="2"/>
            <w:shd w:val="clear" w:color="auto" w:fill="FFFFFF"/>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Elongation at break (%)</w:t>
            </w:r>
          </w:p>
        </w:tc>
      </w:tr>
      <w:tr w:rsidR="00205B80" w:rsidRPr="0044372C" w:rsidTr="00655A55">
        <w:trPr>
          <w:trHeight w:val="18"/>
        </w:trPr>
        <w:tc>
          <w:tcPr>
            <w:tcW w:w="976" w:type="dxa"/>
            <w:vMerge/>
            <w:shd w:val="clear" w:color="auto" w:fill="FFFFFF"/>
            <w:vAlign w:val="center"/>
          </w:tcPr>
          <w:p w:rsidR="00205B80" w:rsidRPr="00621BED" w:rsidRDefault="00205B80" w:rsidP="00655A55">
            <w:pPr>
              <w:jc w:val="center"/>
              <w:rPr>
                <w:rFonts w:ascii="Times New Roman" w:hAnsi="Times New Roman"/>
                <w:sz w:val="20"/>
                <w:szCs w:val="20"/>
              </w:rPr>
            </w:pPr>
          </w:p>
        </w:tc>
        <w:tc>
          <w:tcPr>
            <w:tcW w:w="1269" w:type="dxa"/>
            <w:shd w:val="clear" w:color="auto" w:fill="FFFFFF"/>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70</w:t>
            </w:r>
            <w:r w:rsidRPr="00621BED">
              <w:rPr>
                <w:rFonts w:ascii="Times New Roman" w:hAnsi="Times New Roman"/>
                <w:sz w:val="20"/>
                <w:szCs w:val="20"/>
                <w:vertAlign w:val="superscript"/>
              </w:rPr>
              <w:t>0</w:t>
            </w:r>
            <w:r w:rsidRPr="00621BED">
              <w:rPr>
                <w:rFonts w:ascii="Times New Roman" w:hAnsi="Times New Roman"/>
                <w:sz w:val="20"/>
                <w:szCs w:val="20"/>
              </w:rPr>
              <w:t>C</w:t>
            </w:r>
          </w:p>
        </w:tc>
        <w:tc>
          <w:tcPr>
            <w:tcW w:w="1269" w:type="dxa"/>
            <w:shd w:val="clear" w:color="auto" w:fill="FFFFFF"/>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100</w:t>
            </w:r>
            <w:r w:rsidRPr="00621BED">
              <w:rPr>
                <w:rFonts w:ascii="Times New Roman" w:hAnsi="Times New Roman"/>
                <w:sz w:val="20"/>
                <w:szCs w:val="20"/>
                <w:vertAlign w:val="superscript"/>
              </w:rPr>
              <w:t>0</w:t>
            </w:r>
            <w:r w:rsidRPr="00621BED">
              <w:rPr>
                <w:rFonts w:ascii="Times New Roman" w:hAnsi="Times New Roman"/>
                <w:sz w:val="20"/>
                <w:szCs w:val="20"/>
              </w:rPr>
              <w:t>C</w:t>
            </w:r>
          </w:p>
        </w:tc>
        <w:tc>
          <w:tcPr>
            <w:tcW w:w="1269" w:type="dxa"/>
            <w:shd w:val="clear" w:color="auto" w:fill="FFFFFF"/>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70</w:t>
            </w:r>
            <w:r w:rsidRPr="00621BED">
              <w:rPr>
                <w:rFonts w:ascii="Times New Roman" w:hAnsi="Times New Roman"/>
                <w:sz w:val="20"/>
                <w:szCs w:val="20"/>
                <w:vertAlign w:val="superscript"/>
              </w:rPr>
              <w:t>0</w:t>
            </w:r>
            <w:r w:rsidRPr="00621BED">
              <w:rPr>
                <w:rFonts w:ascii="Times New Roman" w:hAnsi="Times New Roman"/>
                <w:sz w:val="20"/>
                <w:szCs w:val="20"/>
              </w:rPr>
              <w:t>C</w:t>
            </w:r>
          </w:p>
        </w:tc>
        <w:tc>
          <w:tcPr>
            <w:tcW w:w="1465" w:type="dxa"/>
            <w:shd w:val="clear" w:color="auto" w:fill="FFFFFF"/>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100</w:t>
            </w:r>
            <w:r w:rsidRPr="00621BED">
              <w:rPr>
                <w:rFonts w:ascii="Times New Roman" w:hAnsi="Times New Roman"/>
                <w:sz w:val="20"/>
                <w:szCs w:val="20"/>
                <w:vertAlign w:val="superscript"/>
              </w:rPr>
              <w:t>0</w:t>
            </w:r>
            <w:r w:rsidRPr="00621BED">
              <w:rPr>
                <w:rFonts w:ascii="Times New Roman" w:hAnsi="Times New Roman"/>
                <w:sz w:val="20"/>
                <w:szCs w:val="20"/>
              </w:rPr>
              <w:t>C</w:t>
            </w:r>
          </w:p>
        </w:tc>
        <w:tc>
          <w:tcPr>
            <w:tcW w:w="1172" w:type="dxa"/>
            <w:shd w:val="clear" w:color="auto" w:fill="FFFFFF"/>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70</w:t>
            </w:r>
            <w:r w:rsidRPr="00621BED">
              <w:rPr>
                <w:rFonts w:ascii="Times New Roman" w:hAnsi="Times New Roman"/>
                <w:sz w:val="20"/>
                <w:szCs w:val="20"/>
                <w:vertAlign w:val="superscript"/>
              </w:rPr>
              <w:t>0</w:t>
            </w:r>
            <w:r w:rsidRPr="00621BED">
              <w:rPr>
                <w:rFonts w:ascii="Times New Roman" w:hAnsi="Times New Roman"/>
                <w:sz w:val="20"/>
                <w:szCs w:val="20"/>
              </w:rPr>
              <w:t>C</w:t>
            </w:r>
          </w:p>
        </w:tc>
        <w:tc>
          <w:tcPr>
            <w:tcW w:w="1626" w:type="dxa"/>
            <w:shd w:val="clear" w:color="auto" w:fill="FFFFFF"/>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100</w:t>
            </w:r>
            <w:r w:rsidRPr="00621BED">
              <w:rPr>
                <w:rFonts w:ascii="Times New Roman" w:hAnsi="Times New Roman"/>
                <w:sz w:val="20"/>
                <w:szCs w:val="20"/>
                <w:vertAlign w:val="superscript"/>
              </w:rPr>
              <w:t>0</w:t>
            </w:r>
            <w:r w:rsidRPr="00621BED">
              <w:rPr>
                <w:rFonts w:ascii="Times New Roman" w:hAnsi="Times New Roman"/>
                <w:sz w:val="20"/>
                <w:szCs w:val="20"/>
              </w:rPr>
              <w:t>C</w:t>
            </w:r>
          </w:p>
        </w:tc>
      </w:tr>
      <w:tr w:rsidR="00205B80" w:rsidRPr="0044372C" w:rsidTr="00655A55">
        <w:trPr>
          <w:trHeight w:val="17"/>
        </w:trPr>
        <w:tc>
          <w:tcPr>
            <w:tcW w:w="976"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C</w:t>
            </w:r>
          </w:p>
        </w:tc>
        <w:tc>
          <w:tcPr>
            <w:tcW w:w="1269"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17.54</w:t>
            </w:r>
          </w:p>
        </w:tc>
        <w:tc>
          <w:tcPr>
            <w:tcW w:w="1269"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17.75</w:t>
            </w:r>
          </w:p>
        </w:tc>
        <w:tc>
          <w:tcPr>
            <w:tcW w:w="1269"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1.62</w:t>
            </w:r>
          </w:p>
        </w:tc>
        <w:tc>
          <w:tcPr>
            <w:tcW w:w="1465"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2.12</w:t>
            </w:r>
          </w:p>
        </w:tc>
        <w:tc>
          <w:tcPr>
            <w:tcW w:w="1172"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995</w:t>
            </w:r>
          </w:p>
        </w:tc>
        <w:tc>
          <w:tcPr>
            <w:tcW w:w="1626"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863</w:t>
            </w:r>
          </w:p>
        </w:tc>
      </w:tr>
      <w:tr w:rsidR="00205B80" w:rsidRPr="0044372C" w:rsidTr="00655A55">
        <w:trPr>
          <w:trHeight w:val="17"/>
        </w:trPr>
        <w:tc>
          <w:tcPr>
            <w:tcW w:w="976"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C</w:t>
            </w:r>
            <w:r w:rsidRPr="00621BED">
              <w:rPr>
                <w:rFonts w:ascii="Times New Roman" w:hAnsi="Times New Roman"/>
                <w:sz w:val="20"/>
                <w:szCs w:val="20"/>
                <w:vertAlign w:val="subscript"/>
              </w:rPr>
              <w:t>1</w:t>
            </w:r>
          </w:p>
        </w:tc>
        <w:tc>
          <w:tcPr>
            <w:tcW w:w="1269"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14.95</w:t>
            </w:r>
          </w:p>
        </w:tc>
        <w:tc>
          <w:tcPr>
            <w:tcW w:w="1269"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14.8</w:t>
            </w:r>
          </w:p>
        </w:tc>
        <w:tc>
          <w:tcPr>
            <w:tcW w:w="1269"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1.44</w:t>
            </w:r>
          </w:p>
        </w:tc>
        <w:tc>
          <w:tcPr>
            <w:tcW w:w="1465"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1.73</w:t>
            </w:r>
          </w:p>
        </w:tc>
        <w:tc>
          <w:tcPr>
            <w:tcW w:w="1172"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1084</w:t>
            </w:r>
          </w:p>
        </w:tc>
        <w:tc>
          <w:tcPr>
            <w:tcW w:w="1626"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967</w:t>
            </w:r>
          </w:p>
        </w:tc>
      </w:tr>
      <w:tr w:rsidR="00205B80" w:rsidRPr="0044372C" w:rsidTr="00655A55">
        <w:trPr>
          <w:trHeight w:val="17"/>
        </w:trPr>
        <w:tc>
          <w:tcPr>
            <w:tcW w:w="976"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C</w:t>
            </w:r>
            <w:r w:rsidRPr="00621BED">
              <w:rPr>
                <w:rFonts w:ascii="Times New Roman" w:hAnsi="Times New Roman"/>
                <w:sz w:val="20"/>
                <w:szCs w:val="20"/>
                <w:vertAlign w:val="subscript"/>
              </w:rPr>
              <w:t>2</w:t>
            </w:r>
          </w:p>
        </w:tc>
        <w:tc>
          <w:tcPr>
            <w:tcW w:w="1269"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20.64</w:t>
            </w:r>
          </w:p>
        </w:tc>
        <w:tc>
          <w:tcPr>
            <w:tcW w:w="1269"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19.19</w:t>
            </w:r>
          </w:p>
        </w:tc>
        <w:tc>
          <w:tcPr>
            <w:tcW w:w="1269"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1.62</w:t>
            </w:r>
          </w:p>
        </w:tc>
        <w:tc>
          <w:tcPr>
            <w:tcW w:w="1465"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2.04</w:t>
            </w:r>
          </w:p>
        </w:tc>
        <w:tc>
          <w:tcPr>
            <w:tcW w:w="1172"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1082</w:t>
            </w:r>
          </w:p>
        </w:tc>
        <w:tc>
          <w:tcPr>
            <w:tcW w:w="1626"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906</w:t>
            </w:r>
          </w:p>
        </w:tc>
      </w:tr>
      <w:tr w:rsidR="00205B80" w:rsidRPr="0044372C" w:rsidTr="00655A55">
        <w:trPr>
          <w:trHeight w:val="18"/>
        </w:trPr>
        <w:tc>
          <w:tcPr>
            <w:tcW w:w="976"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C</w:t>
            </w:r>
            <w:r w:rsidRPr="00621BED">
              <w:rPr>
                <w:rFonts w:ascii="Times New Roman" w:hAnsi="Times New Roman"/>
                <w:sz w:val="20"/>
                <w:szCs w:val="20"/>
                <w:vertAlign w:val="subscript"/>
              </w:rPr>
              <w:t>3</w:t>
            </w:r>
          </w:p>
        </w:tc>
        <w:tc>
          <w:tcPr>
            <w:tcW w:w="1269"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19.08</w:t>
            </w:r>
          </w:p>
        </w:tc>
        <w:tc>
          <w:tcPr>
            <w:tcW w:w="1269"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19.46</w:t>
            </w:r>
          </w:p>
        </w:tc>
        <w:tc>
          <w:tcPr>
            <w:tcW w:w="1269"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1.55</w:t>
            </w:r>
          </w:p>
        </w:tc>
        <w:tc>
          <w:tcPr>
            <w:tcW w:w="1465"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1.95</w:t>
            </w:r>
          </w:p>
        </w:tc>
        <w:tc>
          <w:tcPr>
            <w:tcW w:w="1172"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1069</w:t>
            </w:r>
          </w:p>
        </w:tc>
        <w:tc>
          <w:tcPr>
            <w:tcW w:w="1626" w:type="dxa"/>
            <w:vAlign w:val="center"/>
          </w:tcPr>
          <w:p w:rsidR="00205B80" w:rsidRPr="00621BED" w:rsidRDefault="00205B80" w:rsidP="00655A55">
            <w:pPr>
              <w:jc w:val="center"/>
              <w:rPr>
                <w:rFonts w:ascii="Times New Roman" w:hAnsi="Times New Roman"/>
                <w:sz w:val="20"/>
                <w:szCs w:val="20"/>
              </w:rPr>
            </w:pPr>
            <w:r w:rsidRPr="00621BED">
              <w:rPr>
                <w:rFonts w:ascii="Times New Roman" w:hAnsi="Times New Roman"/>
                <w:sz w:val="20"/>
                <w:szCs w:val="20"/>
              </w:rPr>
              <w:t>1016</w:t>
            </w:r>
          </w:p>
        </w:tc>
      </w:tr>
    </w:tbl>
    <w:p w:rsidR="00205B80" w:rsidRDefault="00205B80" w:rsidP="00205B80">
      <w:pPr>
        <w:pStyle w:val="NoSpacing"/>
        <w:jc w:val="both"/>
        <w:rPr>
          <w:rFonts w:ascii="Times New Roman" w:hAnsi="Times New Roman" w:cs="Times New Roman"/>
          <w:sz w:val="20"/>
          <w:szCs w:val="20"/>
        </w:rPr>
      </w:pPr>
    </w:p>
    <w:p w:rsidR="00621BED" w:rsidRPr="00621BED" w:rsidRDefault="00621BED" w:rsidP="00205B80">
      <w:pPr>
        <w:pStyle w:val="NoSpacing"/>
        <w:ind w:firstLine="720"/>
        <w:jc w:val="both"/>
        <w:rPr>
          <w:rFonts w:ascii="Times New Roman" w:hAnsi="Times New Roman" w:cs="Times New Roman"/>
          <w:sz w:val="20"/>
          <w:szCs w:val="20"/>
        </w:rPr>
      </w:pPr>
      <w:r w:rsidRPr="00621BED">
        <w:rPr>
          <w:rFonts w:ascii="Times New Roman" w:hAnsi="Times New Roman" w:cs="Times New Roman"/>
          <w:sz w:val="20"/>
          <w:szCs w:val="20"/>
        </w:rPr>
        <w:t>The cross link densities of the vulcanisates calculated from the equilibrium swelling measurements in toluene are shown in Table 3. The crosslink densities are in the order C</w:t>
      </w:r>
      <w:r w:rsidRPr="00621BED">
        <w:rPr>
          <w:rFonts w:ascii="Times New Roman" w:hAnsi="Times New Roman" w:cs="Times New Roman"/>
          <w:sz w:val="20"/>
          <w:szCs w:val="20"/>
          <w:vertAlign w:val="subscript"/>
        </w:rPr>
        <w:t>1</w:t>
      </w:r>
      <w:r w:rsidRPr="00621BED">
        <w:rPr>
          <w:rFonts w:ascii="Times New Roman" w:hAnsi="Times New Roman" w:cs="Times New Roman"/>
          <w:sz w:val="20"/>
          <w:szCs w:val="20"/>
        </w:rPr>
        <w:t xml:space="preserve"> &lt; C &lt; C</w:t>
      </w:r>
      <w:r w:rsidRPr="00621BED">
        <w:rPr>
          <w:rFonts w:ascii="Times New Roman" w:hAnsi="Times New Roman" w:cs="Times New Roman"/>
          <w:sz w:val="20"/>
          <w:szCs w:val="20"/>
          <w:vertAlign w:val="subscript"/>
        </w:rPr>
        <w:t>3</w:t>
      </w:r>
      <w:r w:rsidRPr="00621BED">
        <w:rPr>
          <w:rFonts w:ascii="Times New Roman" w:hAnsi="Times New Roman" w:cs="Times New Roman"/>
          <w:sz w:val="20"/>
          <w:szCs w:val="20"/>
        </w:rPr>
        <w:t>&lt; C</w:t>
      </w:r>
      <w:r w:rsidRPr="00621BED">
        <w:rPr>
          <w:rFonts w:ascii="Times New Roman" w:hAnsi="Times New Roman" w:cs="Times New Roman"/>
          <w:sz w:val="20"/>
          <w:szCs w:val="20"/>
          <w:vertAlign w:val="subscript"/>
        </w:rPr>
        <w:t>2</w:t>
      </w:r>
      <w:r w:rsidRPr="00621BED">
        <w:rPr>
          <w:rFonts w:ascii="Times New Roman" w:hAnsi="Times New Roman" w:cs="Times New Roman"/>
          <w:sz w:val="20"/>
          <w:szCs w:val="20"/>
        </w:rPr>
        <w:t>. Cross link density is an important parameter, which can be related to the physical properties of rubber vulcanisate</w:t>
      </w:r>
      <w:r w:rsidRPr="00621BED">
        <w:rPr>
          <w:rFonts w:ascii="Times New Roman" w:eastAsia="MS Mincho" w:hAnsi="Times New Roman" w:cs="Times New Roman"/>
          <w:sz w:val="20"/>
          <w:szCs w:val="20"/>
        </w:rPr>
        <w:t xml:space="preserve"> </w:t>
      </w:r>
      <w:r w:rsidR="003B406C">
        <w:rPr>
          <w:rFonts w:ascii="Times New Roman" w:eastAsia="MS Mincho" w:hAnsi="Times New Roman" w:cs="Times New Roman"/>
          <w:sz w:val="20"/>
          <w:szCs w:val="20"/>
        </w:rPr>
        <w:t>[24]</w:t>
      </w:r>
      <w:r w:rsidRPr="00621BED">
        <w:rPr>
          <w:rFonts w:ascii="Times New Roman" w:hAnsi="Times New Roman" w:cs="Times New Roman"/>
          <w:sz w:val="20"/>
          <w:szCs w:val="20"/>
        </w:rPr>
        <w:t>. The results of the study cited above show that the mechanical properties of the samples such as tensile strength, hardness and rebound resilience are in accordance with the cross link density. The study establishes that in natural rubber vulcanisates it is possible to develop equivalent and even superior crosslink densities and the mechanical properties by replacing TMTD which is known to be carcinogenic with marginally high dosage of TBzTD which is non-regulated and safe.</w:t>
      </w:r>
    </w:p>
    <w:p w:rsidR="00D94FF7" w:rsidRPr="005A73C2" w:rsidRDefault="003162DF" w:rsidP="003162DF">
      <w:pPr>
        <w:pStyle w:val="Heading1"/>
        <w:numPr>
          <w:ilvl w:val="0"/>
          <w:numId w:val="0"/>
        </w:numPr>
        <w:spacing w:before="0" w:after="0"/>
        <w:rPr>
          <w:b/>
          <w:bCs/>
          <w:sz w:val="22"/>
          <w:szCs w:val="22"/>
        </w:rPr>
      </w:pPr>
      <w:r>
        <w:rPr>
          <w:b/>
          <w:bCs/>
          <w:sz w:val="22"/>
          <w:szCs w:val="22"/>
        </w:rPr>
        <w:t>iv</w:t>
      </w:r>
      <w:r w:rsidR="00205B80">
        <w:rPr>
          <w:b/>
          <w:bCs/>
          <w:sz w:val="22"/>
          <w:szCs w:val="22"/>
        </w:rPr>
        <w:t>.</w:t>
      </w:r>
      <w:r w:rsidR="00205B80" w:rsidRPr="005A73C2">
        <w:rPr>
          <w:b/>
          <w:bCs/>
          <w:sz w:val="22"/>
          <w:szCs w:val="22"/>
        </w:rPr>
        <w:t xml:space="preserve"> Conclusion</w:t>
      </w:r>
    </w:p>
    <w:p w:rsidR="00690EB6" w:rsidRDefault="00343DC0" w:rsidP="003E74F5">
      <w:pPr>
        <w:pStyle w:val="Text"/>
        <w:ind w:firstLine="720"/>
        <w:rPr>
          <w:color w:val="000000"/>
          <w:shd w:val="clear" w:color="auto" w:fill="FFFFFF"/>
        </w:rPr>
      </w:pPr>
      <w:r w:rsidRPr="00144FFA">
        <w:t>The use of TBzTD instead of TMTD in a natural rubber compound for engineering applications containing an efficient vulcanization system r</w:t>
      </w:r>
      <w:r>
        <w:t xml:space="preserve">esults in better scorch safety. </w:t>
      </w:r>
      <w:r w:rsidRPr="00144FFA">
        <w:t>The dosage of TBzTD in a vulcanisate equivalent to that of the dosage of TMTD in the cure system in the control vulcanisate shows marginally inferior mechanical properties and cross link density. However the vulcanisate containing 10% higher dosage of TBzTD shows mechanical properties, aging resistance and cross link density comparable to that of the control. TBzTD is a safe (non-carcinogenic) substitute for TMTD</w:t>
      </w:r>
      <w:r>
        <w:t xml:space="preserve"> </w:t>
      </w:r>
      <w:r w:rsidRPr="00144FFA">
        <w:t xml:space="preserve">in the compounds for the manufacture </w:t>
      </w:r>
      <w:r w:rsidRPr="00351370">
        <w:t xml:space="preserve">of </w:t>
      </w:r>
      <w:r w:rsidRPr="00351370">
        <w:rPr>
          <w:color w:val="000000"/>
          <w:shd w:val="clear" w:color="auto" w:fill="FFFFFF"/>
        </w:rPr>
        <w:t>rubber engineering components ranging from small automotive mounts and bushes through anti-seismic devices to large marine fenders</w:t>
      </w:r>
    </w:p>
    <w:p w:rsidR="005C1568" w:rsidRDefault="005C1568" w:rsidP="005C1568">
      <w:pPr>
        <w:pStyle w:val="Heading1"/>
        <w:numPr>
          <w:ilvl w:val="0"/>
          <w:numId w:val="0"/>
        </w:numPr>
        <w:ind w:left="2880" w:firstLine="720"/>
        <w:jc w:val="left"/>
        <w:rPr>
          <w:b/>
        </w:rPr>
      </w:pPr>
    </w:p>
    <w:p w:rsidR="003E74F5" w:rsidRPr="005C1568" w:rsidRDefault="003E74F5" w:rsidP="005C1568">
      <w:pPr>
        <w:pStyle w:val="Heading1"/>
        <w:numPr>
          <w:ilvl w:val="0"/>
          <w:numId w:val="0"/>
        </w:numPr>
        <w:ind w:left="2880" w:firstLine="720"/>
        <w:jc w:val="left"/>
        <w:rPr>
          <w:b/>
        </w:rPr>
      </w:pPr>
      <w:r w:rsidRPr="005C1568">
        <w:rPr>
          <w:b/>
        </w:rPr>
        <w:t>REFERENCES</w:t>
      </w:r>
    </w:p>
    <w:p w:rsidR="00F97587" w:rsidRPr="00AB25DB" w:rsidRDefault="00F97587" w:rsidP="00F97587">
      <w:pPr>
        <w:pStyle w:val="references"/>
        <w:spacing w:after="0" w:line="276" w:lineRule="auto"/>
        <w:rPr>
          <w:rFonts w:eastAsia="MS Mincho"/>
        </w:rPr>
      </w:pPr>
      <w:r w:rsidRPr="00AB25DB">
        <w:rPr>
          <w:rFonts w:eastAsia="MS Mincho"/>
        </w:rPr>
        <w:t xml:space="preserve">A.D.Roberts, </w:t>
      </w:r>
      <w:r w:rsidRPr="00AB25DB">
        <w:rPr>
          <w:rFonts w:eastAsia="MS Mincho"/>
          <w:i/>
        </w:rPr>
        <w:t>Natural Rubber Science and Technology</w:t>
      </w:r>
      <w:r w:rsidRPr="00AB25DB">
        <w:rPr>
          <w:rFonts w:eastAsia="MS Mincho"/>
        </w:rPr>
        <w:t xml:space="preserve">(Oxford University Press, Oxford, USA, 1988) </w:t>
      </w:r>
    </w:p>
    <w:p w:rsidR="00F97587" w:rsidRPr="00AB25DB" w:rsidRDefault="00F97587" w:rsidP="00F97587">
      <w:pPr>
        <w:pStyle w:val="references"/>
        <w:spacing w:after="0" w:line="276" w:lineRule="auto"/>
        <w:rPr>
          <w:rFonts w:eastAsia="MS Mincho"/>
        </w:rPr>
      </w:pPr>
      <w:r w:rsidRPr="00AB25DB">
        <w:rPr>
          <w:rFonts w:eastAsia="MS Mincho"/>
        </w:rPr>
        <w:t xml:space="preserve">R.N.Datta, </w:t>
      </w:r>
      <w:r w:rsidRPr="00AB25DB">
        <w:rPr>
          <w:rFonts w:eastAsia="MS Mincho"/>
          <w:i/>
        </w:rPr>
        <w:t>Rubber Curing Systems, Rapra Review Reports, 12</w:t>
      </w:r>
      <w:r w:rsidRPr="00AB25DB">
        <w:rPr>
          <w:rFonts w:eastAsia="MS Mincho"/>
        </w:rPr>
        <w:t>, ,2002, 3-13 .</w:t>
      </w:r>
    </w:p>
    <w:p w:rsidR="00F97587" w:rsidRPr="00AB25DB" w:rsidRDefault="00F97587" w:rsidP="00F97587">
      <w:pPr>
        <w:pStyle w:val="references"/>
        <w:spacing w:after="0" w:line="276" w:lineRule="auto"/>
        <w:rPr>
          <w:rFonts w:eastAsia="MS Mincho"/>
        </w:rPr>
      </w:pPr>
      <w:r w:rsidRPr="00AB25DB">
        <w:rPr>
          <w:rFonts w:eastAsia="MS Mincho"/>
        </w:rPr>
        <w:t xml:space="preserve">M.Morton, </w:t>
      </w:r>
      <w:r w:rsidRPr="00AB25DB">
        <w:rPr>
          <w:rFonts w:eastAsia="MS Mincho"/>
          <w:i/>
        </w:rPr>
        <w:t>Rubber Technology</w:t>
      </w:r>
      <w:r w:rsidRPr="00AB25DB">
        <w:rPr>
          <w:rFonts w:eastAsia="MS Mincho"/>
        </w:rPr>
        <w:t xml:space="preserve"> (Chapman&amp; Hall, London, UK, 1995).</w:t>
      </w:r>
    </w:p>
    <w:p w:rsidR="00F97587" w:rsidRPr="00AB25DB" w:rsidRDefault="00F97587" w:rsidP="00F97587">
      <w:pPr>
        <w:pStyle w:val="references"/>
      </w:pPr>
      <w:r w:rsidRPr="00AB25DB">
        <w:t xml:space="preserve">Abraham K., </w:t>
      </w:r>
      <w:r w:rsidRPr="00AB25DB">
        <w:rPr>
          <w:i/>
        </w:rPr>
        <w:t>Asian Rubber Handbook and Directory</w:t>
      </w:r>
      <w:r w:rsidRPr="00AB25DB">
        <w:t>( Dhanam Publications (P) Ltd., Kochi,</w:t>
      </w:r>
    </w:p>
    <w:p w:rsidR="00F97587" w:rsidRPr="00AB25DB" w:rsidRDefault="00F97587" w:rsidP="00F97587">
      <w:pPr>
        <w:pStyle w:val="references"/>
        <w:numPr>
          <w:ilvl w:val="0"/>
          <w:numId w:val="0"/>
        </w:numPr>
      </w:pPr>
      <w:r w:rsidRPr="00AB25DB">
        <w:t xml:space="preserve">      India, 2005).</w:t>
      </w:r>
    </w:p>
    <w:p w:rsidR="00F97587" w:rsidRPr="00AB25DB" w:rsidRDefault="00F97587" w:rsidP="00F97587">
      <w:pPr>
        <w:pStyle w:val="references"/>
        <w:spacing w:after="0" w:line="276" w:lineRule="auto"/>
        <w:rPr>
          <w:rFonts w:eastAsia="MS Mincho"/>
        </w:rPr>
      </w:pPr>
      <w:r w:rsidRPr="00AB25DB">
        <w:rPr>
          <w:rFonts w:eastAsia="MS Mincho"/>
        </w:rPr>
        <w:t xml:space="preserve">L.Fishbein, </w:t>
      </w:r>
      <w:r w:rsidRPr="00AB25DB">
        <w:rPr>
          <w:rFonts w:eastAsia="MS Mincho"/>
          <w:i/>
        </w:rPr>
        <w:t>Potential Industrial Carcinogens and Mutagens</w:t>
      </w:r>
      <w:r w:rsidRPr="00AB25DB">
        <w:rPr>
          <w:rFonts w:eastAsia="MS Mincho"/>
        </w:rPr>
        <w:t xml:space="preserve">( Elsevier Scientific Publishing Company, Netherlands,1979). </w:t>
      </w:r>
    </w:p>
    <w:p w:rsidR="00F97587" w:rsidRPr="00AB25DB" w:rsidRDefault="00F97587" w:rsidP="00F97587">
      <w:pPr>
        <w:pStyle w:val="references"/>
        <w:spacing w:after="0" w:line="276" w:lineRule="auto"/>
        <w:rPr>
          <w:rFonts w:eastAsia="MS Mincho"/>
        </w:rPr>
      </w:pPr>
      <w:r w:rsidRPr="00AB25DB">
        <w:rPr>
          <w:rFonts w:eastAsia="MS Mincho"/>
        </w:rPr>
        <w:lastRenderedPageBreak/>
        <w:t>E.R.Vieira, N.J.Pierozan and V.Lovison,</w:t>
      </w:r>
      <w:r w:rsidRPr="00AB25DB">
        <w:rPr>
          <w:rFonts w:eastAsia="MS Mincho"/>
          <w:i/>
        </w:rPr>
        <w:t>Brazilian Archives of Biology and Technology, 49</w:t>
      </w:r>
      <w:r w:rsidRPr="00AB25DB">
        <w:rPr>
          <w:rFonts w:eastAsia="MS Mincho"/>
        </w:rPr>
        <w:t>, 2006</w:t>
      </w:r>
      <w:r w:rsidRPr="00AB25DB">
        <w:rPr>
          <w:rFonts w:eastAsia="MS Mincho"/>
          <w:i/>
        </w:rPr>
        <w:t>,</w:t>
      </w:r>
      <w:r w:rsidRPr="00AB25DB">
        <w:rPr>
          <w:rFonts w:eastAsia="MS Mincho"/>
        </w:rPr>
        <w:t xml:space="preserve"> 73-77.</w:t>
      </w:r>
    </w:p>
    <w:p w:rsidR="00F97587" w:rsidRPr="00AB25DB" w:rsidRDefault="00F97587" w:rsidP="00F97587">
      <w:pPr>
        <w:pStyle w:val="references"/>
        <w:spacing w:after="0" w:line="276" w:lineRule="auto"/>
        <w:rPr>
          <w:rFonts w:eastAsia="MS Mincho"/>
        </w:rPr>
      </w:pPr>
      <w:r w:rsidRPr="00AB25DB">
        <w:rPr>
          <w:rFonts w:eastAsia="MS Mincho"/>
        </w:rPr>
        <w:t xml:space="preserve">M.J.Forrest, </w:t>
      </w:r>
      <w:r w:rsidRPr="00AB25DB">
        <w:rPr>
          <w:rFonts w:eastAsia="MS Mincho"/>
          <w:i/>
        </w:rPr>
        <w:t>Food contact rubbers 2- products, migration and regulation, Rapra review Reports, 16,</w:t>
      </w:r>
      <w:r w:rsidRPr="00AB25DB">
        <w:rPr>
          <w:rFonts w:eastAsia="MS Mincho"/>
        </w:rPr>
        <w:t xml:space="preserve"> 2006, 69. </w:t>
      </w:r>
    </w:p>
    <w:p w:rsidR="00F97587" w:rsidRPr="00AB25DB" w:rsidRDefault="00F97587" w:rsidP="00F97587">
      <w:pPr>
        <w:pStyle w:val="references"/>
        <w:spacing w:after="0" w:line="276" w:lineRule="auto"/>
        <w:rPr>
          <w:rFonts w:eastAsia="MS Mincho"/>
        </w:rPr>
      </w:pPr>
      <w:r w:rsidRPr="00AB25DB">
        <w:rPr>
          <w:rFonts w:eastAsia="MS Mincho"/>
        </w:rPr>
        <w:t xml:space="preserve">M.D.Gernon, C.Trumpfheller, </w:t>
      </w:r>
      <w:r w:rsidRPr="00AB25DB">
        <w:rPr>
          <w:rFonts w:eastAsia="MS Mincho"/>
          <w:i/>
        </w:rPr>
        <w:t>Chem. Educator, 8</w:t>
      </w:r>
      <w:r w:rsidRPr="00AB25DB">
        <w:rPr>
          <w:rFonts w:eastAsia="MS Mincho"/>
        </w:rPr>
        <w:t xml:space="preserve"> ,2003, 112.   </w:t>
      </w:r>
    </w:p>
    <w:p w:rsidR="00F97587" w:rsidRPr="00AB25DB" w:rsidRDefault="00F97587" w:rsidP="00F97587">
      <w:pPr>
        <w:pStyle w:val="references"/>
        <w:spacing w:after="0" w:line="276" w:lineRule="auto"/>
        <w:rPr>
          <w:rFonts w:eastAsia="MS Mincho"/>
        </w:rPr>
      </w:pPr>
      <w:r w:rsidRPr="00AB25DB">
        <w:rPr>
          <w:rFonts w:eastAsia="MS Mincho"/>
        </w:rPr>
        <w:t xml:space="preserve">A.S.Aprem, K. Joseph, T.Mathew, V. Altstaedt and S.Thomas, </w:t>
      </w:r>
      <w:r w:rsidRPr="00AB25DB">
        <w:rPr>
          <w:rFonts w:eastAsia="MS Mincho"/>
          <w:i/>
        </w:rPr>
        <w:t>European Polymer Journal, 39</w:t>
      </w:r>
      <w:r w:rsidRPr="00AB25DB">
        <w:rPr>
          <w:rFonts w:eastAsia="MS Mincho"/>
        </w:rPr>
        <w:t>, 2003, 1452 .</w:t>
      </w:r>
    </w:p>
    <w:p w:rsidR="00F97587" w:rsidRPr="00AB25DB" w:rsidRDefault="00F97587" w:rsidP="00F97587">
      <w:pPr>
        <w:pStyle w:val="references"/>
        <w:spacing w:after="0" w:line="276" w:lineRule="auto"/>
        <w:rPr>
          <w:rFonts w:eastAsia="MS Mincho"/>
        </w:rPr>
      </w:pPr>
      <w:r w:rsidRPr="00AB25DB">
        <w:rPr>
          <w:rFonts w:eastAsia="MS Mincho"/>
        </w:rPr>
        <w:t xml:space="preserve">D.B.Seeberger, </w:t>
      </w:r>
      <w:r w:rsidRPr="00AB25DB">
        <w:rPr>
          <w:rFonts w:eastAsia="MS Mincho"/>
          <w:i/>
        </w:rPr>
        <w:t>Rubber World</w:t>
      </w:r>
      <w:r w:rsidRPr="00AB25DB">
        <w:rPr>
          <w:rFonts w:eastAsia="MS Mincho"/>
        </w:rPr>
        <w:t>, 1990.</w:t>
      </w:r>
    </w:p>
    <w:p w:rsidR="00F97587" w:rsidRPr="00AB25DB" w:rsidRDefault="00F97587" w:rsidP="00F97587">
      <w:pPr>
        <w:pStyle w:val="references"/>
        <w:spacing w:after="0" w:line="276" w:lineRule="auto"/>
        <w:rPr>
          <w:rFonts w:eastAsia="MS Mincho"/>
        </w:rPr>
      </w:pPr>
      <w:r w:rsidRPr="00AB25DB">
        <w:rPr>
          <w:rFonts w:eastAsia="MS Mincho"/>
        </w:rPr>
        <w:t xml:space="preserve">M.P.Ferrandino, J.A.Sanders and S.W.Hong, </w:t>
      </w:r>
      <w:r w:rsidRPr="00AB25DB">
        <w:rPr>
          <w:rFonts w:eastAsia="MS Mincho"/>
          <w:i/>
        </w:rPr>
        <w:t>Rubber World</w:t>
      </w:r>
      <w:r w:rsidRPr="00AB25DB">
        <w:rPr>
          <w:rFonts w:eastAsia="MS Mincho"/>
        </w:rPr>
        <w:t>, 1996.</w:t>
      </w:r>
    </w:p>
    <w:p w:rsidR="00F97587" w:rsidRPr="00AB25DB" w:rsidRDefault="00F97587" w:rsidP="00F97587">
      <w:pPr>
        <w:pStyle w:val="references"/>
        <w:spacing w:after="0" w:line="276" w:lineRule="auto"/>
        <w:rPr>
          <w:rFonts w:eastAsia="MS Mincho"/>
        </w:rPr>
      </w:pPr>
      <w:r w:rsidRPr="00AB25DB">
        <w:rPr>
          <w:rFonts w:eastAsia="MS Mincho"/>
        </w:rPr>
        <w:t xml:space="preserve">G.Byran and G.W.Welding, </w:t>
      </w:r>
      <w:r w:rsidRPr="00AB25DB">
        <w:rPr>
          <w:rFonts w:eastAsia="MS Mincho"/>
          <w:i/>
        </w:rPr>
        <w:t>Techniques of Polymer Science, Society of Chemical Industries, 17</w:t>
      </w:r>
      <w:r w:rsidRPr="00AB25DB">
        <w:rPr>
          <w:rFonts w:eastAsia="MS Mincho"/>
        </w:rPr>
        <w:t xml:space="preserve"> ,1963, 75.</w:t>
      </w:r>
    </w:p>
    <w:p w:rsidR="00F97587" w:rsidRPr="00AB25DB" w:rsidRDefault="00F97587" w:rsidP="00F97587">
      <w:pPr>
        <w:pStyle w:val="references"/>
        <w:spacing w:after="0" w:line="276" w:lineRule="auto"/>
        <w:rPr>
          <w:rFonts w:eastAsia="MS Mincho"/>
        </w:rPr>
      </w:pPr>
      <w:r w:rsidRPr="00AB25DB">
        <w:rPr>
          <w:rFonts w:eastAsia="MS Mincho"/>
        </w:rPr>
        <w:t xml:space="preserve">A.D.T.Gorton and T.D.Pendle, </w:t>
      </w:r>
      <w:r w:rsidRPr="00AB25DB">
        <w:rPr>
          <w:rFonts w:eastAsia="MS Mincho"/>
          <w:i/>
        </w:rPr>
        <w:t>Nat. Rubber Technol.7</w:t>
      </w:r>
      <w:r w:rsidRPr="00AB25DB">
        <w:rPr>
          <w:rFonts w:eastAsia="MS Mincho"/>
        </w:rPr>
        <w:t>,1976, 77.</w:t>
      </w:r>
    </w:p>
    <w:p w:rsidR="00F97587" w:rsidRPr="00AB25DB" w:rsidRDefault="00F97587" w:rsidP="00F97587">
      <w:pPr>
        <w:pStyle w:val="references"/>
        <w:spacing w:after="0" w:line="276" w:lineRule="auto"/>
        <w:rPr>
          <w:rFonts w:eastAsia="MS Mincho"/>
        </w:rPr>
      </w:pPr>
      <w:r w:rsidRPr="00AB25DB">
        <w:rPr>
          <w:rFonts w:eastAsia="MS Mincho"/>
        </w:rPr>
        <w:t xml:space="preserve">B.Ellis and G.W.Welding, </w:t>
      </w:r>
      <w:r w:rsidRPr="00AB25DB">
        <w:rPr>
          <w:rFonts w:eastAsia="MS Mincho"/>
          <w:i/>
        </w:rPr>
        <w:t>Rubber Chem Technol,.37</w:t>
      </w:r>
      <w:r w:rsidRPr="00AB25DB">
        <w:rPr>
          <w:rFonts w:eastAsia="MS Mincho"/>
        </w:rPr>
        <w:t xml:space="preserve">,1964, 571. </w:t>
      </w:r>
    </w:p>
    <w:p w:rsidR="00F97587" w:rsidRPr="00AB25DB" w:rsidRDefault="00F97587" w:rsidP="00F97587">
      <w:pPr>
        <w:pStyle w:val="references"/>
        <w:spacing w:after="0" w:line="276" w:lineRule="auto"/>
        <w:rPr>
          <w:rFonts w:eastAsia="MS Mincho"/>
        </w:rPr>
      </w:pPr>
      <w:r w:rsidRPr="00AB25DB">
        <w:rPr>
          <w:rFonts w:eastAsia="MS Mincho"/>
        </w:rPr>
        <w:t xml:space="preserve">P.J.Flory and J. Rhener, </w:t>
      </w:r>
      <w:r w:rsidRPr="00AB25DB">
        <w:rPr>
          <w:rFonts w:eastAsia="MS Mincho"/>
          <w:i/>
        </w:rPr>
        <w:t>J Chem Phys, 11</w:t>
      </w:r>
      <w:r w:rsidRPr="00AB25DB">
        <w:rPr>
          <w:rFonts w:eastAsia="MS Mincho"/>
        </w:rPr>
        <w:t>, 1943, 5120.</w:t>
      </w:r>
    </w:p>
    <w:p w:rsidR="00F97587" w:rsidRPr="00AB25DB" w:rsidRDefault="00F97587" w:rsidP="00F97587">
      <w:pPr>
        <w:pStyle w:val="references"/>
        <w:spacing w:after="0" w:line="276" w:lineRule="auto"/>
        <w:rPr>
          <w:rFonts w:eastAsia="MS Mincho"/>
        </w:rPr>
      </w:pPr>
      <w:r w:rsidRPr="00AB25DB">
        <w:rPr>
          <w:rFonts w:eastAsia="MS Mincho"/>
        </w:rPr>
        <w:t xml:space="preserve">A.S.Aprem, K. Joseph and S.Thomas, </w:t>
      </w:r>
      <w:r w:rsidRPr="00AB25DB">
        <w:rPr>
          <w:rFonts w:eastAsia="MS Mincho"/>
          <w:i/>
        </w:rPr>
        <w:t>J Applied Polymer Science, 91</w:t>
      </w:r>
      <w:r w:rsidRPr="00AB25DB">
        <w:rPr>
          <w:rFonts w:eastAsia="MS Mincho"/>
        </w:rPr>
        <w:t>, 2004, 1070.</w:t>
      </w:r>
    </w:p>
    <w:p w:rsidR="00F97587" w:rsidRPr="00AB25DB" w:rsidRDefault="00F97587" w:rsidP="00F97587">
      <w:pPr>
        <w:pStyle w:val="references"/>
        <w:spacing w:after="0" w:line="276" w:lineRule="auto"/>
        <w:rPr>
          <w:rFonts w:eastAsia="MS Mincho"/>
        </w:rPr>
      </w:pPr>
      <w:r w:rsidRPr="00AB25DB">
        <w:rPr>
          <w:rFonts w:eastAsia="MS Mincho"/>
        </w:rPr>
        <w:t xml:space="preserve">A.M.Sadequl, U.S.Ishiaku, H.Ismail and B.T. Poh, </w:t>
      </w:r>
      <w:r w:rsidRPr="00AB25DB">
        <w:rPr>
          <w:rFonts w:eastAsia="MS Mincho"/>
          <w:i/>
        </w:rPr>
        <w:t>Eur.Polym. J., 34</w:t>
      </w:r>
      <w:r w:rsidRPr="00AB25DB">
        <w:rPr>
          <w:rFonts w:eastAsia="MS Mincho"/>
        </w:rPr>
        <w:t>, 1998, 51 – 57.</w:t>
      </w:r>
    </w:p>
    <w:p w:rsidR="00F97587" w:rsidRPr="00AB25DB" w:rsidRDefault="00F97587" w:rsidP="00F97587">
      <w:pPr>
        <w:pStyle w:val="references"/>
        <w:spacing w:after="0" w:line="276" w:lineRule="auto"/>
        <w:rPr>
          <w:rFonts w:eastAsia="MS Mincho"/>
        </w:rPr>
      </w:pPr>
      <w:r w:rsidRPr="00AB25DB">
        <w:rPr>
          <w:rFonts w:eastAsia="MS Mincho"/>
        </w:rPr>
        <w:t xml:space="preserve">T.H.Ferrigno, </w:t>
      </w:r>
      <w:r w:rsidRPr="00AB25DB">
        <w:rPr>
          <w:rFonts w:eastAsia="MS Mincho"/>
          <w:i/>
        </w:rPr>
        <w:t>Principles of filler selection  and use in handbook of fillers and reinforcements for plastics</w:t>
      </w:r>
      <w:r w:rsidRPr="00AB25DB">
        <w:rPr>
          <w:rFonts w:eastAsia="MS Mincho"/>
        </w:rPr>
        <w:t>(Harry S Katz and John V Milewski (Ed.), Van Nostrand Reinhold Company, Newyork, USA, 1978).</w:t>
      </w:r>
    </w:p>
    <w:p w:rsidR="00F97587" w:rsidRPr="00AB25DB" w:rsidRDefault="00F97587" w:rsidP="00F97587">
      <w:pPr>
        <w:pStyle w:val="references"/>
        <w:spacing w:after="0" w:line="276" w:lineRule="auto"/>
        <w:rPr>
          <w:rFonts w:eastAsia="MS Mincho"/>
        </w:rPr>
      </w:pPr>
      <w:r w:rsidRPr="00AB25DB">
        <w:rPr>
          <w:rFonts w:eastAsia="MS Mincho"/>
        </w:rPr>
        <w:t xml:space="preserve">K.M.George, P.V.Pillai and N.M.Mathew, </w:t>
      </w:r>
      <w:r w:rsidRPr="00AB25DB">
        <w:rPr>
          <w:rFonts w:eastAsia="MS Mincho"/>
          <w:i/>
        </w:rPr>
        <w:t>Indian Journal of Natural Rubber Research, 4</w:t>
      </w:r>
      <w:r w:rsidRPr="00AB25DB">
        <w:rPr>
          <w:rFonts w:eastAsia="MS Mincho"/>
        </w:rPr>
        <w:t>, 1991, 26.</w:t>
      </w:r>
    </w:p>
    <w:p w:rsidR="00F97587" w:rsidRPr="00AB25DB" w:rsidRDefault="00F97587" w:rsidP="00F97587">
      <w:pPr>
        <w:pStyle w:val="references"/>
        <w:spacing w:after="0" w:line="276" w:lineRule="auto"/>
        <w:rPr>
          <w:rFonts w:eastAsia="MS Mincho"/>
        </w:rPr>
      </w:pPr>
      <w:r w:rsidRPr="00AB25DB">
        <w:rPr>
          <w:rFonts w:eastAsia="MS Mincho"/>
        </w:rPr>
        <w:t xml:space="preserve">H.J.Janh and H.H.Bertram, </w:t>
      </w:r>
      <w:r w:rsidRPr="00AB25DB">
        <w:rPr>
          <w:rFonts w:eastAsia="MS Mincho"/>
          <w:i/>
        </w:rPr>
        <w:t>Rubber Chemistry and Technology, 46</w:t>
      </w:r>
      <w:r w:rsidRPr="00AB25DB">
        <w:rPr>
          <w:rFonts w:eastAsia="MS Mincho"/>
        </w:rPr>
        <w:t>, 1973, 305.</w:t>
      </w:r>
    </w:p>
    <w:p w:rsidR="00F97587" w:rsidRPr="00AB25DB" w:rsidRDefault="00F97587" w:rsidP="00F97587">
      <w:pPr>
        <w:pStyle w:val="references"/>
        <w:spacing w:after="0" w:line="276" w:lineRule="auto"/>
        <w:rPr>
          <w:rFonts w:eastAsia="MS Mincho"/>
        </w:rPr>
      </w:pPr>
      <w:r w:rsidRPr="00AB25DB">
        <w:rPr>
          <w:rFonts w:eastAsia="MS Mincho"/>
        </w:rPr>
        <w:t xml:space="preserve">J.R.W.White and S.K.De, </w:t>
      </w:r>
      <w:r w:rsidRPr="00AB25DB">
        <w:rPr>
          <w:rFonts w:eastAsia="MS Mincho"/>
          <w:i/>
        </w:rPr>
        <w:t>Rubber Technologist’s Handbook</w:t>
      </w:r>
      <w:r w:rsidRPr="00AB25DB">
        <w:rPr>
          <w:rFonts w:eastAsia="MS Mincho"/>
        </w:rPr>
        <w:t>(Rapra Technology Ltd, Shawbury, UK, 2001).</w:t>
      </w:r>
    </w:p>
    <w:p w:rsidR="00F97587" w:rsidRPr="00AB25DB" w:rsidRDefault="00F97587" w:rsidP="00F97587">
      <w:pPr>
        <w:pStyle w:val="references"/>
        <w:spacing w:after="0" w:line="276" w:lineRule="auto"/>
        <w:rPr>
          <w:rFonts w:eastAsia="MS Mincho"/>
        </w:rPr>
      </w:pPr>
      <w:r w:rsidRPr="00AB25DB">
        <w:rPr>
          <w:rFonts w:eastAsia="MS Mincho"/>
        </w:rPr>
        <w:t xml:space="preserve">P.A.Ciullo and N. Hewitt, </w:t>
      </w:r>
      <w:r w:rsidRPr="00AB25DB">
        <w:rPr>
          <w:rFonts w:eastAsia="MS Mincho"/>
          <w:i/>
        </w:rPr>
        <w:t>The Rubber Formulary</w:t>
      </w:r>
      <w:r w:rsidRPr="00AB25DB">
        <w:rPr>
          <w:rFonts w:eastAsia="MS Mincho"/>
        </w:rPr>
        <w:t>( Noyes Publications/ William Andrew Publishing, LLC, NewYork, USA,1999).</w:t>
      </w:r>
    </w:p>
    <w:p w:rsidR="00F97587" w:rsidRPr="00AB25DB" w:rsidRDefault="00F97587" w:rsidP="00F97587">
      <w:pPr>
        <w:pStyle w:val="references"/>
        <w:spacing w:after="0" w:line="276" w:lineRule="auto"/>
        <w:rPr>
          <w:rFonts w:eastAsia="MS Mincho"/>
        </w:rPr>
      </w:pPr>
      <w:r w:rsidRPr="00AB25DB">
        <w:rPr>
          <w:rFonts w:eastAsia="MS Mincho"/>
        </w:rPr>
        <w:t xml:space="preserve">V.Pimolsiriphol, P.Saeoui and C.Sirisinha, </w:t>
      </w:r>
      <w:r w:rsidRPr="00AB25DB">
        <w:rPr>
          <w:rFonts w:eastAsia="MS Mincho"/>
          <w:i/>
        </w:rPr>
        <w:t>Polymer-Plastics Technology and Engineering,46</w:t>
      </w:r>
      <w:r w:rsidRPr="00AB25DB">
        <w:rPr>
          <w:rFonts w:eastAsia="MS Mincho"/>
        </w:rPr>
        <w:t>,  2007, 113 – 121.</w:t>
      </w:r>
    </w:p>
    <w:p w:rsidR="00F97587" w:rsidRPr="00AB25DB" w:rsidRDefault="00F97587" w:rsidP="00F97587">
      <w:pPr>
        <w:pStyle w:val="references"/>
        <w:spacing w:after="0" w:line="276" w:lineRule="auto"/>
        <w:rPr>
          <w:rFonts w:eastAsia="MS Mincho"/>
        </w:rPr>
      </w:pPr>
      <w:r w:rsidRPr="00AB25DB">
        <w:rPr>
          <w:rFonts w:eastAsia="MS Mincho"/>
        </w:rPr>
        <w:t xml:space="preserve">M.R.Krejsa and J.L.Koenig, </w:t>
      </w:r>
      <w:r w:rsidRPr="00AB25DB">
        <w:rPr>
          <w:rFonts w:eastAsia="MS Mincho"/>
          <w:i/>
        </w:rPr>
        <w:t>Elastomer Technology Handbook</w:t>
      </w:r>
      <w:r w:rsidRPr="00AB25DB">
        <w:rPr>
          <w:rFonts w:eastAsia="MS Mincho"/>
        </w:rPr>
        <w:t xml:space="preserve"> (CRC Press Boca Raton, Florida, USA, 1993). </w:t>
      </w:r>
    </w:p>
    <w:p w:rsidR="00F97587" w:rsidRPr="00D82B83" w:rsidRDefault="00F97587" w:rsidP="00F97587">
      <w:pPr>
        <w:pStyle w:val="references"/>
        <w:numPr>
          <w:ilvl w:val="0"/>
          <w:numId w:val="0"/>
        </w:numPr>
        <w:spacing w:after="0" w:line="276" w:lineRule="auto"/>
        <w:ind w:left="360" w:hanging="360"/>
        <w:rPr>
          <w:rFonts w:eastAsia="MS Mincho"/>
          <w:sz w:val="20"/>
          <w:szCs w:val="20"/>
        </w:rPr>
      </w:pPr>
    </w:p>
    <w:p w:rsidR="00F97587" w:rsidRPr="00D82B83" w:rsidRDefault="00F97587" w:rsidP="00F97587">
      <w:pPr>
        <w:pStyle w:val="references"/>
        <w:numPr>
          <w:ilvl w:val="0"/>
          <w:numId w:val="0"/>
        </w:numPr>
        <w:spacing w:after="0" w:line="276" w:lineRule="auto"/>
        <w:ind w:left="360" w:hanging="360"/>
        <w:rPr>
          <w:rFonts w:eastAsia="MS Mincho"/>
          <w:sz w:val="20"/>
          <w:szCs w:val="20"/>
        </w:rPr>
      </w:pPr>
    </w:p>
    <w:p w:rsidR="00F97587" w:rsidRDefault="00F97587" w:rsidP="00F97587">
      <w:pPr>
        <w:pStyle w:val="references"/>
        <w:numPr>
          <w:ilvl w:val="0"/>
          <w:numId w:val="0"/>
        </w:numPr>
        <w:spacing w:after="0" w:line="276" w:lineRule="auto"/>
        <w:ind w:left="360" w:hanging="360"/>
        <w:rPr>
          <w:rFonts w:eastAsia="MS Mincho"/>
          <w:sz w:val="22"/>
          <w:szCs w:val="22"/>
        </w:rPr>
      </w:pPr>
    </w:p>
    <w:p w:rsidR="00F97587" w:rsidRDefault="00F97587" w:rsidP="00F97587">
      <w:pPr>
        <w:pStyle w:val="references"/>
        <w:numPr>
          <w:ilvl w:val="0"/>
          <w:numId w:val="0"/>
        </w:numPr>
        <w:spacing w:after="0" w:line="276" w:lineRule="auto"/>
        <w:ind w:left="360" w:hanging="360"/>
        <w:rPr>
          <w:rFonts w:eastAsia="MS Mincho"/>
          <w:sz w:val="22"/>
          <w:szCs w:val="22"/>
        </w:rPr>
      </w:pPr>
    </w:p>
    <w:p w:rsidR="00F97587" w:rsidRDefault="00F97587" w:rsidP="00F97587">
      <w:pPr>
        <w:pStyle w:val="references"/>
        <w:numPr>
          <w:ilvl w:val="0"/>
          <w:numId w:val="0"/>
        </w:numPr>
        <w:spacing w:after="0" w:line="276" w:lineRule="auto"/>
        <w:ind w:left="360" w:hanging="360"/>
        <w:rPr>
          <w:rFonts w:eastAsia="MS Mincho"/>
          <w:sz w:val="22"/>
          <w:szCs w:val="22"/>
        </w:rPr>
      </w:pPr>
    </w:p>
    <w:p w:rsidR="00F97587" w:rsidRDefault="00F97587" w:rsidP="00F97587">
      <w:pPr>
        <w:pStyle w:val="references"/>
        <w:numPr>
          <w:ilvl w:val="0"/>
          <w:numId w:val="0"/>
        </w:numPr>
        <w:spacing w:after="0" w:line="276" w:lineRule="auto"/>
        <w:ind w:left="360" w:hanging="360"/>
        <w:rPr>
          <w:rFonts w:eastAsia="MS Mincho"/>
          <w:sz w:val="22"/>
          <w:szCs w:val="22"/>
        </w:rPr>
      </w:pPr>
    </w:p>
    <w:p w:rsidR="00F97587" w:rsidRDefault="00F97587" w:rsidP="00F97587">
      <w:pPr>
        <w:pStyle w:val="references"/>
        <w:numPr>
          <w:ilvl w:val="0"/>
          <w:numId w:val="0"/>
        </w:numPr>
        <w:spacing w:after="0" w:line="276" w:lineRule="auto"/>
        <w:ind w:left="360" w:hanging="360"/>
        <w:rPr>
          <w:rFonts w:eastAsia="MS Mincho"/>
          <w:sz w:val="22"/>
          <w:szCs w:val="22"/>
        </w:rPr>
      </w:pPr>
      <w:r w:rsidRPr="00965414">
        <w:rPr>
          <w:rFonts w:eastAsia="MS Mincho"/>
          <w:sz w:val="22"/>
          <w:szCs w:val="22"/>
        </w:rPr>
        <w:t xml:space="preserve">  </w:t>
      </w:r>
    </w:p>
    <w:p w:rsidR="003E74F5" w:rsidRPr="003E74F5" w:rsidRDefault="003E74F5" w:rsidP="003E74F5"/>
    <w:sectPr w:rsidR="003E74F5" w:rsidRPr="003E74F5" w:rsidSect="00C7209F">
      <w:headerReference w:type="even" r:id="rId14"/>
      <w:headerReference w:type="default" r:id="rId15"/>
      <w:footerReference w:type="default" r:id="rId16"/>
      <w:headerReference w:type="first" r:id="rId17"/>
      <w:footerReference w:type="first" r:id="rId18"/>
      <w:pgSz w:w="11907" w:h="16840" w:code="9"/>
      <w:pgMar w:top="1440" w:right="1440" w:bottom="1440" w:left="1440"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7B2" w:rsidRDefault="00AD57B2" w:rsidP="00D94FF7">
      <w:pPr>
        <w:spacing w:after="0" w:line="240" w:lineRule="auto"/>
      </w:pPr>
      <w:r>
        <w:separator/>
      </w:r>
    </w:p>
  </w:endnote>
  <w:endnote w:type="continuationSeparator" w:id="1">
    <w:p w:rsidR="00AD57B2" w:rsidRDefault="00AD57B2"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5" w:rsidRDefault="00F07059" w:rsidP="001D7625">
    <w:pPr>
      <w:pStyle w:val="Footer"/>
      <w:tabs>
        <w:tab w:val="clear" w:pos="4680"/>
        <w:tab w:val="clear" w:pos="9360"/>
      </w:tabs>
    </w:pPr>
    <w:r w:rsidRPr="00F07059">
      <w:rPr>
        <w:rFonts w:asciiTheme="majorHAnsi" w:eastAsiaTheme="majorEastAsia" w:hAnsiTheme="majorHAnsi" w:cstheme="majorBidi"/>
        <w:b/>
        <w:bCs/>
        <w:noProof/>
        <w:lang w:eastAsia="zh-TW"/>
      </w:rPr>
      <w:pict>
        <v:group id="_x0000_s2059" style="position:absolute;margin-left:0;margin-top:0;width:463.55pt;height:24.25pt;z-index:251662336;mso-position-horizontal:center;mso-position-horizontal-relative:page;mso-position-vertical:top;mso-position-vertical-relative:line" coordorigin="321,14850" coordsize="11601,547">
          <v:rect id="_x0000_s2060" style="position:absolute;left:374;top:14903;width:9346;height:432;mso-position-horizontal-relative:page;mso-position-vertical:center;mso-position-vertical-relative:bottom-margin-area" o:allowincell="f" fillcolor="#0070c0" strokecolor="#0070c0">
            <v:fill color2="#943634 [2405]"/>
            <v:textbox style="mso-next-textbox:#_x0000_s2060">
              <w:txbxContent>
                <w:sdt>
                  <w:sdtPr>
                    <w:rPr>
                      <w:rFonts w:ascii="Times New Roman" w:hAnsi="Times New Roman"/>
                      <w:color w:val="FFFFFF" w:themeColor="background1"/>
                      <w:spacing w:val="60"/>
                    </w:rPr>
                    <w:alias w:val="Address"/>
                    <w:id w:val="30223794"/>
                    <w:placeholder>
                      <w:docPart w:val="99BCD11AA0B04BEF8760627DCEA5BDF8"/>
                    </w:placeholder>
                    <w:dataBinding w:prefixMappings="xmlns:ns0='http://schemas.microsoft.com/office/2006/coverPageProps'" w:xpath="/ns0:CoverPageProperties[1]/ns0:CompanyAddress[1]" w:storeItemID="{55AF091B-3C7A-41E3-B477-F2FDAA23CFDA}"/>
                    <w:text w:multiLine="1"/>
                  </w:sdtPr>
                  <w:sdtContent>
                    <w:p w:rsidR="001D7625" w:rsidRDefault="00FA6D89" w:rsidP="001D7625">
                      <w:pPr>
                        <w:pStyle w:val="Footer"/>
                        <w:spacing w:after="0" w:line="240" w:lineRule="auto"/>
                        <w:rPr>
                          <w:color w:val="FFFFFF" w:themeColor="background1"/>
                          <w:spacing w:val="60"/>
                        </w:rPr>
                      </w:pPr>
                      <w:r>
                        <w:rPr>
                          <w:rFonts w:ascii="Times New Roman" w:hAnsi="Times New Roman"/>
                          <w:color w:val="FFFFFF" w:themeColor="background1"/>
                          <w:spacing w:val="60"/>
                        </w:rPr>
                        <w:t>www.ajer.org</w:t>
                      </w:r>
                    </w:p>
                  </w:sdtContent>
                </w:sdt>
                <w:p w:rsidR="001D7625" w:rsidRDefault="001D7625">
                  <w:pPr>
                    <w:pStyle w:val="Header"/>
                    <w:rPr>
                      <w:color w:val="FFFFFF" w:themeColor="background1"/>
                    </w:rPr>
                  </w:pPr>
                </w:p>
              </w:txbxContent>
            </v:textbox>
          </v:rect>
          <v:rect id="_x0000_s2061" style="position:absolute;left:9763;top:14903;width:2102;height:432;mso-position-horizontal-relative:page;mso-position-vertical:center;mso-position-vertical-relative:bottom-margin-area" o:allowincell="f" fillcolor="#ffc000" stroked="f">
            <v:fill color2="#943634 [2405]"/>
            <v:textbox style="mso-next-textbox:#_x0000_s2061">
              <w:txbxContent>
                <w:p w:rsidR="001D7625" w:rsidRPr="001D7625" w:rsidRDefault="001D7625" w:rsidP="00FA6D89">
                  <w:pPr>
                    <w:pStyle w:val="Footer"/>
                    <w:jc w:val="right"/>
                  </w:pPr>
                  <w:r w:rsidRPr="001D7625">
                    <w:t xml:space="preserve">Page </w:t>
                  </w:r>
                  <w:fldSimple w:instr=" PAGE   \* MERGEFORMAT ">
                    <w:r w:rsidR="009F7390">
                      <w:rPr>
                        <w:noProof/>
                      </w:rPr>
                      <w:t>2</w:t>
                    </w:r>
                  </w:fldSimple>
                </w:p>
              </w:txbxContent>
            </v:textbox>
          </v:rect>
          <v:rect id="_x0000_s206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p w:rsidR="007749AA" w:rsidRDefault="007749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F07059" w:rsidP="001D7625">
    <w:pPr>
      <w:pStyle w:val="Footer"/>
      <w:tabs>
        <w:tab w:val="clear" w:pos="4680"/>
        <w:tab w:val="clear" w:pos="9360"/>
      </w:tabs>
    </w:pPr>
    <w:r w:rsidRPr="00F07059">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F07059" w:rsidRPr="00C06361">
                    <w:rPr>
                      <w:rFonts w:ascii="Times New Roman" w:hAnsi="Times New Roman"/>
                    </w:rPr>
                    <w:fldChar w:fldCharType="begin"/>
                  </w:r>
                  <w:r w:rsidR="00895E77" w:rsidRPr="00C06361">
                    <w:rPr>
                      <w:rFonts w:ascii="Times New Roman" w:hAnsi="Times New Roman"/>
                    </w:rPr>
                    <w:instrText xml:space="preserve"> PAGE   \* MERGEFORMAT </w:instrText>
                  </w:r>
                  <w:r w:rsidR="00F07059" w:rsidRPr="00C06361">
                    <w:rPr>
                      <w:rFonts w:ascii="Times New Roman" w:hAnsi="Times New Roman"/>
                    </w:rPr>
                    <w:fldChar w:fldCharType="separate"/>
                  </w:r>
                  <w:r w:rsidR="009F7390">
                    <w:rPr>
                      <w:rFonts w:ascii="Times New Roman" w:hAnsi="Times New Roman"/>
                      <w:noProof/>
                    </w:rPr>
                    <w:t>1</w:t>
                  </w:r>
                  <w:r w:rsidR="00F07059"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7B2" w:rsidRDefault="00AD57B2" w:rsidP="00D94FF7">
      <w:pPr>
        <w:spacing w:after="0" w:line="240" w:lineRule="auto"/>
      </w:pPr>
      <w:r>
        <w:separator/>
      </w:r>
    </w:p>
  </w:footnote>
  <w:footnote w:type="continuationSeparator" w:id="1">
    <w:p w:rsidR="00AD57B2" w:rsidRDefault="00AD57B2"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7749AA" w:rsidTr="00FA6D89">
      <w:trPr>
        <w:trHeight w:val="273"/>
      </w:trPr>
      <w:tc>
        <w:tcPr>
          <w:tcW w:w="7938" w:type="dxa"/>
          <w:shd w:val="clear" w:color="auto" w:fill="0070C0"/>
        </w:tcPr>
        <w:p w:rsidR="007749AA" w:rsidRPr="006135FD" w:rsidRDefault="007749AA"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7749AA" w:rsidRPr="006135FD" w:rsidRDefault="007749AA"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78646D" w:rsidRPr="007749AA" w:rsidRDefault="00AD57B2"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AD57B2"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6BE7399B"/>
    <w:multiLevelType w:val="multilevel"/>
    <w:tmpl w:val="BB74D05C"/>
    <w:lvl w:ilvl="0">
      <w:start w:val="1"/>
      <w:numFmt w:val="upperRoman"/>
      <w:lvlText w:val="%1."/>
      <w:lvlJc w:val="right"/>
      <w:pPr>
        <w:ind w:left="234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3"/>
  </w:num>
  <w:num w:numId="4">
    <w:abstractNumId w:val="2"/>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910A4"/>
    <w:rsid w:val="000A2C6A"/>
    <w:rsid w:val="000E4D91"/>
    <w:rsid w:val="00196013"/>
    <w:rsid w:val="001B0042"/>
    <w:rsid w:val="001B7E0B"/>
    <w:rsid w:val="001B7EBE"/>
    <w:rsid w:val="001D756F"/>
    <w:rsid w:val="001D7625"/>
    <w:rsid w:val="001F6481"/>
    <w:rsid w:val="00205B80"/>
    <w:rsid w:val="00221EBD"/>
    <w:rsid w:val="00241128"/>
    <w:rsid w:val="002A0AAD"/>
    <w:rsid w:val="002B1EFC"/>
    <w:rsid w:val="002C041D"/>
    <w:rsid w:val="003162DF"/>
    <w:rsid w:val="00343DC0"/>
    <w:rsid w:val="003B406C"/>
    <w:rsid w:val="003C333E"/>
    <w:rsid w:val="003E1AB8"/>
    <w:rsid w:val="003E3854"/>
    <w:rsid w:val="003E51C5"/>
    <w:rsid w:val="003E74F5"/>
    <w:rsid w:val="003F14E0"/>
    <w:rsid w:val="004428B2"/>
    <w:rsid w:val="00442B22"/>
    <w:rsid w:val="0045236E"/>
    <w:rsid w:val="00466C2C"/>
    <w:rsid w:val="00485465"/>
    <w:rsid w:val="004A522B"/>
    <w:rsid w:val="004E4248"/>
    <w:rsid w:val="004E58D9"/>
    <w:rsid w:val="004F5585"/>
    <w:rsid w:val="00545D88"/>
    <w:rsid w:val="00550756"/>
    <w:rsid w:val="00577196"/>
    <w:rsid w:val="0058171D"/>
    <w:rsid w:val="00597AB1"/>
    <w:rsid w:val="005C1568"/>
    <w:rsid w:val="005C68E2"/>
    <w:rsid w:val="005F1292"/>
    <w:rsid w:val="006135FD"/>
    <w:rsid w:val="00621BED"/>
    <w:rsid w:val="00630339"/>
    <w:rsid w:val="00655A55"/>
    <w:rsid w:val="00690EB6"/>
    <w:rsid w:val="006A4A97"/>
    <w:rsid w:val="006D41C2"/>
    <w:rsid w:val="00702BD1"/>
    <w:rsid w:val="007416CD"/>
    <w:rsid w:val="00744D14"/>
    <w:rsid w:val="007749AA"/>
    <w:rsid w:val="007952D8"/>
    <w:rsid w:val="007A03A1"/>
    <w:rsid w:val="007B358E"/>
    <w:rsid w:val="007C238F"/>
    <w:rsid w:val="007D2E34"/>
    <w:rsid w:val="007D5A86"/>
    <w:rsid w:val="00891CF6"/>
    <w:rsid w:val="00893836"/>
    <w:rsid w:val="00895E77"/>
    <w:rsid w:val="00926218"/>
    <w:rsid w:val="0097281C"/>
    <w:rsid w:val="009735EE"/>
    <w:rsid w:val="009869D3"/>
    <w:rsid w:val="009F7390"/>
    <w:rsid w:val="00A9278B"/>
    <w:rsid w:val="00AB25DB"/>
    <w:rsid w:val="00AD57B2"/>
    <w:rsid w:val="00AD7AB1"/>
    <w:rsid w:val="00B01FC4"/>
    <w:rsid w:val="00B10BC6"/>
    <w:rsid w:val="00B35240"/>
    <w:rsid w:val="00C06361"/>
    <w:rsid w:val="00C678C6"/>
    <w:rsid w:val="00C7209F"/>
    <w:rsid w:val="00C90D50"/>
    <w:rsid w:val="00D4435E"/>
    <w:rsid w:val="00D94FF7"/>
    <w:rsid w:val="00E03C5E"/>
    <w:rsid w:val="00E20444"/>
    <w:rsid w:val="00E208D6"/>
    <w:rsid w:val="00E37BFE"/>
    <w:rsid w:val="00E527E6"/>
    <w:rsid w:val="00E55EF7"/>
    <w:rsid w:val="00E84F9D"/>
    <w:rsid w:val="00ED6404"/>
    <w:rsid w:val="00EF3550"/>
    <w:rsid w:val="00F07059"/>
    <w:rsid w:val="00F07B4E"/>
    <w:rsid w:val="00F47DB3"/>
    <w:rsid w:val="00F97587"/>
    <w:rsid w:val="00FA6D89"/>
    <w:rsid w:val="00FC619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e9c938" strokecolor="#e9c938"/>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character" w:customStyle="1" w:styleId="apple-converted-space">
    <w:name w:val="apple-converted-space"/>
    <w:basedOn w:val="DefaultParagraphFont"/>
    <w:rsid w:val="00E527E6"/>
  </w:style>
  <w:style w:type="paragraph" w:customStyle="1" w:styleId="references">
    <w:name w:val="references"/>
    <w:uiPriority w:val="99"/>
    <w:rsid w:val="00E527E6"/>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Abstract">
    <w:name w:val="Abstract"/>
    <w:uiPriority w:val="99"/>
    <w:rsid w:val="00E208D6"/>
    <w:pPr>
      <w:spacing w:line="240" w:lineRule="auto"/>
      <w:ind w:firstLine="274"/>
      <w:jc w:val="both"/>
    </w:pPr>
    <w:rPr>
      <w:rFonts w:ascii="Times New Roman" w:eastAsia="Times New Roman" w:hAnsi="Times New Roman" w:cs="Times New Roman"/>
      <w:b/>
      <w:bCs/>
      <w:sz w:val="18"/>
      <w:szCs w:val="18"/>
    </w:rPr>
  </w:style>
  <w:style w:type="paragraph" w:styleId="ListParagraph">
    <w:name w:val="List Paragraph"/>
    <w:basedOn w:val="Normal"/>
    <w:uiPriority w:val="34"/>
    <w:qFormat/>
    <w:rsid w:val="002B1EFC"/>
    <w:pPr>
      <w:ind w:left="720"/>
      <w:contextualSpacing/>
    </w:pPr>
  </w:style>
  <w:style w:type="character" w:styleId="Emphasis">
    <w:name w:val="Emphasis"/>
    <w:basedOn w:val="DefaultParagraphFont"/>
    <w:uiPriority w:val="20"/>
    <w:qFormat/>
    <w:rsid w:val="00744D14"/>
    <w:rPr>
      <w:i/>
      <w:iCs/>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
      <w:docPartPr>
        <w:name w:val="99BCD11AA0B04BEF8760627DCEA5BDF8"/>
        <w:category>
          <w:name w:val="General"/>
          <w:gallery w:val="placeholder"/>
        </w:category>
        <w:types>
          <w:type w:val="bbPlcHdr"/>
        </w:types>
        <w:behaviors>
          <w:behavior w:val="content"/>
        </w:behaviors>
        <w:guid w:val="{85872700-1F07-4384-96C0-EC12C38379D6}"/>
      </w:docPartPr>
      <w:docPartBody>
        <w:p w:rsidR="00F71F6D" w:rsidRDefault="00AC48E1" w:rsidP="00AC48E1">
          <w:pPr>
            <w:pStyle w:val="99BCD11AA0B04BEF8760627DCEA5BDF8"/>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0E7064"/>
    <w:rsid w:val="0023717C"/>
    <w:rsid w:val="006C4797"/>
    <w:rsid w:val="007F7E52"/>
    <w:rsid w:val="008139C8"/>
    <w:rsid w:val="00AC48E1"/>
    <w:rsid w:val="00B00ED6"/>
    <w:rsid w:val="00BB54B1"/>
    <w:rsid w:val="00F71F6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62C1F1-81CD-4DF6-8A11-7D56961B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2599</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job</cp:lastModifiedBy>
  <cp:revision>2</cp:revision>
  <cp:lastPrinted>2012-12-27T11:58:00Z</cp:lastPrinted>
  <dcterms:created xsi:type="dcterms:W3CDTF">2013-12-21T15:16:00Z</dcterms:created>
  <dcterms:modified xsi:type="dcterms:W3CDTF">2013-12-21T15:16:00Z</dcterms:modified>
</cp:coreProperties>
</file>